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附件1-1</w:t>
      </w:r>
    </w:p>
    <w:p/>
    <w:p/>
    <w:p/>
    <w:p/>
    <w:p/>
    <w:p/>
    <w:p/>
    <w:p/>
    <w:p>
      <w:pPr>
        <w:spacing w:line="720" w:lineRule="exact"/>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淮北市财政局（国资委）2023年</w:t>
      </w:r>
    </w:p>
    <w:p>
      <w:pPr>
        <w:spacing w:line="720" w:lineRule="exact"/>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部门预算</w:t>
      </w:r>
    </w:p>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华文中宋" w:hAnsi="华文中宋" w:eastAsia="华文中宋" w:cs="华文中宋"/>
          <w:b/>
          <w:kern w:val="2"/>
          <w:sz w:val="52"/>
          <w:szCs w:val="84"/>
        </w:rPr>
      </w:pPr>
      <w:r>
        <w:rPr>
          <w:rFonts w:hint="eastAsia" w:ascii="华文中宋" w:hAnsi="华文中宋" w:eastAsia="华文中宋" w:cs="华文中宋"/>
          <w:b/>
          <w:kern w:val="2"/>
          <w:sz w:val="52"/>
          <w:szCs w:val="84"/>
        </w:rPr>
        <w:t>2023年2月</w:t>
      </w:r>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2、部门预算构成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 、2023年度</w:t>
      </w:r>
      <w:r>
        <w:rPr>
          <w:rFonts w:hint="eastAsia" w:ascii="TimesNewRoman" w:hAnsi="TimesNewRoman" w:eastAsia="仿宋_GB2312" w:cs="TimesNewRoman"/>
          <w:bCs/>
          <w:sz w:val="32"/>
          <w:szCs w:val="32"/>
        </w:rPr>
        <w:t>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仿宋_GB2312" w:hAnsi="仿宋_GB2312" w:eastAsia="仿宋_GB2312" w:cs="仿宋_GB2312"/>
          <w:b/>
          <w:sz w:val="32"/>
          <w:szCs w:val="32"/>
        </w:rPr>
        <w:t>2023年部</w:t>
      </w:r>
      <w:r>
        <w:rPr>
          <w:rFonts w:hint="eastAsia" w:ascii="TimesNewRoman" w:hAnsi="TimesNewRoman" w:eastAsia="仿宋_GB2312" w:cs="TimesNewRoman"/>
          <w:b/>
          <w:sz w:val="32"/>
          <w:szCs w:val="32"/>
        </w:rPr>
        <w:t>门预算表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1、淮北市财政局（国资委）2023年收支总表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2、淮北市财政局（国资委）2023年收入总表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3、淮北市财政局（国资委）2023年支出总表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4、淮北市财政局（国资委）2023年财政拨款收支总表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5、淮北市财政局（国资委）2023年一般公共预算支出表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6、淮北市财政局（国资委）2023年一般公共预算基本支出表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7、淮北市财政局（国资委）2023年政府性基金预算支出表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8、淮北市财政局（国资委）2023年国有资本经营预算支出表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9、淮北市财政局（国资委）2023年项目支出表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10、淮北市财政局（国资委）2023年政府采购支出表</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11、淮北市财政局（国资委）2023年政府购买服务支出表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rPr>
        <w:t>2023年部门预</w:t>
      </w:r>
      <w:r>
        <w:rPr>
          <w:rFonts w:hint="eastAsia" w:ascii="TimesNewRoman" w:hAnsi="TimesNewRoman" w:eastAsia="仿宋_GB2312" w:cs="TimesNewRoman"/>
          <w:b/>
          <w:sz w:val="32"/>
          <w:szCs w:val="32"/>
        </w:rPr>
        <w:t>算情况说明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1、淮北市财政局（国资委）2023年部门预算纳入绩效考评项目表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2、淮北市财政局（国资委）2023年部门预算专项资金管理清单</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napToGrid w:val="0"/>
        <w:spacing w:line="360" w:lineRule="auto"/>
        <w:ind w:firstLine="640" w:firstLineChars="200"/>
        <w:rPr>
          <w:rFonts w:ascii="仿宋_GB2312" w:hAnsi="仿宋" w:eastAsia="仿宋_GB2312"/>
          <w:sz w:val="32"/>
          <w:szCs w:val="32"/>
        </w:rPr>
      </w:pPr>
      <w:r>
        <w:rPr>
          <w:rFonts w:hint="eastAsia" w:ascii="仿宋_GB2312" w:hAnsi="黑体" w:eastAsia="仿宋_GB2312"/>
          <w:bCs/>
          <w:sz w:val="32"/>
          <w:szCs w:val="32"/>
        </w:rPr>
        <w:t>（一）</w:t>
      </w:r>
      <w:r>
        <w:rPr>
          <w:rFonts w:hint="eastAsia" w:ascii="仿宋_GB2312" w:hAnsi="仿宋" w:eastAsia="仿宋_GB2312"/>
          <w:sz w:val="32"/>
          <w:szCs w:val="32"/>
        </w:rPr>
        <w:t>拟订全市财税发展战略、规划、政策和改革方案并组织实施。分析预测宏观经济形势，参与拟订宏观经济政策。提出运用财税政策实施宏观调控和综合平衡社会财力的建议。拟订市与县区、政府与市属国有企业的分配政策，完善鼓励公益事业发展的财税政策。</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（二）贯彻执行财政、财务、会计管理和国有资产监管的法律法规规章，起草相关地方性法规规章草案并监督执行。在国家规定权限内，提出地方性税收政策调整建议。</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调整完善市对县区转移支付制度和财政体制。负责市级预决算公开。指导县区和乡镇财政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（四）按分工负责政府非税收入管理。负责政府性基金管理，按规定管理行政事业性收费。管理财政票据。按规定监管彩票市场、管理彩票资金。</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（五）组织制定国库管理、国库集中收付相关制度办法，指导和监督市级国库业务，按规定开展市级国库现金管理工作。组织实施政府财务报告编制。组织实施政府采购制度，监督管理政府采购工作。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（六）执行政府债务管理制度和政策。负责管理全市政府债务，依法制定政府债务管理制度和办法。按规定统一管理全市政府外债相关工作。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（七）负责审核并汇总编制全市社会保险基金预决算草案，承担社会保险基金财政监管工作。会同有关部门拟订社保资金财务管理相关制度办法。</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（八）负责办理和监督市级财政的经济社会发展支出、市级政府性投资项目的财政拨款，参与拟订市级基建投资有关政策，制定基建财务管理相关制度办法。</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（九）牵头编制国有资产管理情况报告。负责拟订行政事业单位国有资产管理规章制度并组织实施。</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十）执行国有资本经营预算的制度和办法，负责审核并汇总编制全市国有资本经营预决算草案，组织市属企业上缴国有资本收益。组织实施企业财务制度。根据市政府授权，集中统一履行市级国有金融资本出资人职责，执行全国统一的国有金融资本管理规章制度。依法管理资产评估有关工作。</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（十一）负责管理全市会计工作，监督和规范会计行为。组织实施国家统一的会计制度，按规定指导和监督注册会计师、会计师事务所有关业务。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（十二）按照市政府授权，依法监管市属企业的国有 资产，拟定市属企业国有资产管理的相关规章、制度并组织实施。建立和完善国有资产保值增值指标体系，制订考核标准，对市属企业国有资产的保值增值情况进行监管。指导市属企业收入分配改革，完善经营者激励和约束制度，对所监管市属企业负责人进行考核并根据其经营业绩实施奖惩。指导推进市属企业改革和重组，推进市属企业的现代企业制度建设，完善公司治理结构，推动国有经济布局和结构的战略性调整。按照干部管理权限，负责市属国有企业人事任免相关工作。</w:t>
      </w:r>
    </w:p>
    <w:p>
      <w:pPr>
        <w:snapToGrid w:val="0"/>
        <w:spacing w:line="360" w:lineRule="auto"/>
        <w:ind w:firstLine="640" w:firstLineChars="200"/>
        <w:rPr>
          <w:rFonts w:ascii="TimesNewRoman" w:hAnsi="TimesNewRoman" w:eastAsia="仿宋_GB2312" w:cs="TimesNewRoman"/>
          <w:bCs/>
          <w:sz w:val="32"/>
          <w:szCs w:val="32"/>
        </w:rPr>
      </w:pPr>
      <w:r>
        <w:rPr>
          <w:rFonts w:hint="eastAsia" w:ascii="仿宋_GB2312" w:hAnsi="仿宋" w:eastAsia="仿宋_GB2312"/>
          <w:sz w:val="32"/>
          <w:szCs w:val="32"/>
        </w:rPr>
        <w:t>（十三）完成市委、市政府交办的其他任务。</w:t>
      </w:r>
    </w:p>
    <w:p>
      <w:pPr>
        <w:pStyle w:val="6"/>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二、部门预算构成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仿宋_GB2312" w:hAnsi="仿宋" w:eastAsia="仿宋_GB2312" w:cs="仿宋"/>
          <w:bCs/>
          <w:sz w:val="32"/>
          <w:szCs w:val="32"/>
        </w:rPr>
        <w:t>淮北市财政局（国资委）</w:t>
      </w:r>
      <w:r>
        <w:rPr>
          <w:rFonts w:hint="eastAsia" w:ascii="仿宋" w:hAnsi="仿宋" w:eastAsia="仿宋" w:cs="仿宋"/>
          <w:sz w:val="32"/>
          <w:szCs w:val="32"/>
        </w:rPr>
        <w:t>2023</w:t>
      </w:r>
      <w:r>
        <w:rPr>
          <w:rFonts w:hint="eastAsia" w:ascii="TimesNewRoman" w:hAnsi="TimesNewRoman" w:eastAsia="仿宋_GB2312" w:cs="TimesNewRoman"/>
          <w:sz w:val="32"/>
          <w:szCs w:val="32"/>
        </w:rPr>
        <w:t>年度部门预算包括局本级预算和局下属单位预算，纳入部门预算编制范围的预算单位共</w:t>
      </w:r>
      <w:r>
        <w:rPr>
          <w:rFonts w:hint="eastAsia" w:ascii="仿宋" w:hAnsi="仿宋" w:eastAsia="仿宋" w:cs="仿宋"/>
          <w:sz w:val="32"/>
          <w:szCs w:val="32"/>
        </w:rPr>
        <w:t>5</w:t>
      </w:r>
      <w:r>
        <w:rPr>
          <w:rFonts w:hint="eastAsia" w:ascii="TimesNewRoman" w:hAnsi="TimesNewRoman" w:eastAsia="仿宋_GB2312" w:cs="TimesNewRoman"/>
          <w:sz w:val="32"/>
          <w:szCs w:val="32"/>
        </w:rPr>
        <w:t>个，具体情况见下表。</w:t>
      </w:r>
    </w:p>
    <w:tbl>
      <w:tblPr>
        <w:tblStyle w:val="7"/>
        <w:tblW w:w="8540" w:type="dxa"/>
        <w:jc w:val="center"/>
        <w:tblLayout w:type="fixed"/>
        <w:tblCellMar>
          <w:top w:w="0" w:type="dxa"/>
          <w:left w:w="0" w:type="dxa"/>
          <w:bottom w:w="0" w:type="dxa"/>
          <w:right w:w="0" w:type="dxa"/>
        </w:tblCellMar>
      </w:tblPr>
      <w:tblGrid>
        <w:gridCol w:w="854"/>
        <w:gridCol w:w="3701"/>
        <w:gridCol w:w="3985"/>
      </w:tblGrid>
      <w:tr>
        <w:tblPrEx>
          <w:tblCellMar>
            <w:top w:w="0" w:type="dxa"/>
            <w:left w:w="0" w:type="dxa"/>
            <w:bottom w:w="0" w:type="dxa"/>
            <w:right w:w="0" w:type="dxa"/>
          </w:tblCellMar>
        </w:tblPrEx>
        <w:trPr>
          <w:trHeight w:val="664"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7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3985"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1</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淮北市财政局（国资委）</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行政单位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2</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淮北市国库支付中心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参照公务员法管理的事业单位</w:t>
            </w:r>
          </w:p>
        </w:tc>
      </w:tr>
      <w:tr>
        <w:tblPrEx>
          <w:tblCellMar>
            <w:top w:w="0" w:type="dxa"/>
            <w:left w:w="0" w:type="dxa"/>
            <w:bottom w:w="0" w:type="dxa"/>
            <w:right w:w="0" w:type="dxa"/>
          </w:tblCellMar>
        </w:tblPrEx>
        <w:trPr>
          <w:trHeight w:val="890"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3</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淮北市下岗失业人员小额贷款担保中心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全额拨款事业单位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4</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淮北市财政局信息中心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全额拨款事业单位</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仿宋" w:eastAsia="仿宋_GB2312" w:cs="仿宋"/>
                <w:bCs/>
                <w:sz w:val="30"/>
                <w:szCs w:val="30"/>
              </w:rPr>
            </w:pPr>
            <w:r>
              <w:rPr>
                <w:rFonts w:ascii="仿宋_GB2312" w:hAnsi="仿宋" w:eastAsia="仿宋_GB2312" w:cs="仿宋"/>
                <w:bCs/>
                <w:sz w:val="30"/>
                <w:szCs w:val="30"/>
              </w:rPr>
              <w:t>5</w:t>
            </w:r>
          </w:p>
        </w:tc>
        <w:tc>
          <w:tcPr>
            <w:tcW w:w="3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淮北市财政预算评审中心</w:t>
            </w:r>
          </w:p>
        </w:tc>
        <w:tc>
          <w:tcPr>
            <w:tcW w:w="3985" w:type="dxa"/>
            <w:tcBorders>
              <w:top w:val="nil"/>
              <w:left w:val="nil"/>
              <w:bottom w:val="single" w:color="auto" w:sz="8" w:space="0"/>
              <w:right w:val="single" w:color="auto" w:sz="8" w:space="0"/>
            </w:tcBorders>
            <w:shd w:val="clear" w:color="auto" w:fill="FFFFFF"/>
            <w:vAlign w:val="center"/>
          </w:tcPr>
          <w:p>
            <w:pPr>
              <w:adjustRightInd w:val="0"/>
              <w:snapToGrid w:val="0"/>
              <w:spacing w:line="360" w:lineRule="auto"/>
              <w:rPr>
                <w:rFonts w:ascii="TimesNewRoman" w:hAnsi="TimesNewRoman" w:cs="TimesNewRoman"/>
                <w:sz w:val="24"/>
                <w:u w:val="single"/>
              </w:rPr>
            </w:pPr>
            <w:r>
              <w:rPr>
                <w:rFonts w:hint="eastAsia" w:ascii="仿宋_GB2312" w:hAnsi="仿宋" w:eastAsia="仿宋_GB2312" w:cs="仿宋"/>
                <w:bCs/>
                <w:sz w:val="30"/>
                <w:szCs w:val="30"/>
              </w:rPr>
              <w:t>全额拨款事业单位</w:t>
            </w:r>
          </w:p>
        </w:tc>
      </w:tr>
    </w:tbl>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2023年度</w:t>
      </w:r>
      <w:r>
        <w:rPr>
          <w:rFonts w:hint="eastAsia" w:ascii="TimesNewRoman" w:hAnsi="TimesNewRoman" w:eastAsia="黑体" w:cs="TimesNewRoman"/>
          <w:bCs/>
          <w:sz w:val="32"/>
          <w:szCs w:val="32"/>
        </w:rPr>
        <w:t>主要工作任务</w:t>
      </w:r>
    </w:p>
    <w:p>
      <w:pPr>
        <w:spacing w:line="580" w:lineRule="exact"/>
        <w:ind w:firstLine="643" w:firstLineChars="200"/>
        <w:rPr>
          <w:rFonts w:ascii="Times New Roman" w:hAnsi="Times New Roman" w:eastAsia="仿宋_GB2312"/>
          <w:color w:val="000000"/>
          <w:sz w:val="32"/>
        </w:rPr>
      </w:pPr>
      <w:r>
        <w:rPr>
          <w:rFonts w:ascii="Times New Roman" w:hAnsi="Times New Roman" w:eastAsia="楷体_GB2312"/>
          <w:b/>
          <w:bCs/>
          <w:color w:val="000000"/>
          <w:sz w:val="32"/>
        </w:rPr>
        <w:t>（一）进一步强投入助推高质量发展。</w:t>
      </w:r>
      <w:r>
        <w:rPr>
          <w:rFonts w:ascii="Times New Roman" w:hAnsi="Times New Roman" w:eastAsia="仿宋_GB2312"/>
          <w:color w:val="000000"/>
          <w:sz w:val="32"/>
        </w:rPr>
        <w:t>积极落实好各项稳企惠企政策，持续清理优化奖补政策，加大对工业经济转型和工业互联网发展、促进民营经济发展的奖补力度，切实提高财政资金使用绩效。积极争取上级各项资金，设立产业投资基金，加强政银结合引导金融资金，探索整合政府各类资源，盘活基础设施和部分公用事业项目的经营权转让等国有存量资产，</w:t>
      </w:r>
      <w:r>
        <w:rPr>
          <w:rFonts w:ascii="Times New Roman" w:hAnsi="Times New Roman" w:eastAsia="仿宋_GB2312"/>
          <w:color w:val="000000"/>
          <w:sz w:val="32"/>
          <w:szCs w:val="32"/>
        </w:rPr>
        <w:t>通过资产抵押、争取专项债券等方式，多渠道筹措建设资金</w:t>
      </w:r>
      <w:r>
        <w:rPr>
          <w:rFonts w:ascii="Times New Roman" w:hAnsi="Times New Roman" w:eastAsia="仿宋_GB2312"/>
          <w:color w:val="000000"/>
          <w:sz w:val="32"/>
        </w:rPr>
        <w:t>，聚焦“五群十链”，加快强链补链延链，助推高新技术产业、陶铝新材料等战略性新兴产业做大做强，支持传统产业改造提升，引领产业转型升级。</w:t>
      </w:r>
    </w:p>
    <w:p>
      <w:pPr>
        <w:spacing w:line="580" w:lineRule="exact"/>
        <w:ind w:firstLine="640"/>
        <w:rPr>
          <w:rFonts w:ascii="Times New Roman" w:hAnsi="Times New Roman"/>
          <w:color w:val="000000"/>
        </w:rPr>
      </w:pPr>
      <w:r>
        <w:rPr>
          <w:rFonts w:ascii="Times New Roman" w:hAnsi="Times New Roman" w:eastAsia="楷体_GB2312"/>
          <w:b/>
          <w:bCs/>
          <w:color w:val="000000"/>
          <w:sz w:val="32"/>
        </w:rPr>
        <w:t>（二）进一步抓统筹增强保障能力</w:t>
      </w:r>
      <w:r>
        <w:rPr>
          <w:rFonts w:ascii="Times New Roman" w:hAnsi="Times New Roman" w:eastAsia="楷体_GB2312"/>
          <w:color w:val="000000"/>
          <w:sz w:val="32"/>
        </w:rPr>
        <w:t>。</w:t>
      </w:r>
      <w:r>
        <w:rPr>
          <w:rFonts w:ascii="Times New Roman" w:hAnsi="Times New Roman" w:eastAsia="仿宋_GB2312"/>
          <w:color w:val="000000"/>
          <w:sz w:val="32"/>
          <w:szCs w:val="32"/>
        </w:rPr>
        <w:t>健全财税联席共商机制，建立财税库收入分析调度和收入旬报制度，加大综合治税工作力度，确保财政收入依法征管、均衡入库。加强“四本预算”衔接，强化财政资金统筹，规范各项收支管理。</w:t>
      </w:r>
      <w:r>
        <w:rPr>
          <w:rFonts w:ascii="Times New Roman" w:hAnsi="Times New Roman" w:eastAsia="仿宋_GB2312"/>
          <w:color w:val="000000"/>
          <w:sz w:val="32"/>
          <w:szCs w:val="32"/>
          <w:shd w:val="clear" w:color="auto" w:fill="FFFFFF"/>
        </w:rPr>
        <w:t>盘活存量，及时清理收回结余结转资金，统筹用于亟待支持的领域。积极争取上级转移支付资金和政府债券资金以及优惠政策支持，不断壮大政府可用财力，切实增强财政调控能力。</w:t>
      </w:r>
      <w:r>
        <w:rPr>
          <w:rFonts w:ascii="Times New Roman" w:hAnsi="Times New Roman" w:eastAsia="仿宋_GB2312"/>
          <w:color w:val="000000"/>
          <w:sz w:val="32"/>
          <w:shd w:val="clear" w:color="auto" w:fill="FFFFFF"/>
        </w:rPr>
        <w:t>树牢过紧日子思想，严格控制和压减一般性支出，大力压减非刚性、非重点项目支出和“三公”经费，</w:t>
      </w:r>
      <w:r>
        <w:rPr>
          <w:rFonts w:ascii="Times New Roman" w:hAnsi="Times New Roman" w:eastAsia="仿宋_GB2312"/>
          <w:color w:val="000000"/>
          <w:sz w:val="32"/>
          <w:szCs w:val="32"/>
        </w:rPr>
        <w:t>加大向农业、科技、教育、医疗卫生和社会保障等重点领域倾斜，着力</w:t>
      </w:r>
      <w:r>
        <w:rPr>
          <w:rFonts w:ascii="Times New Roman" w:hAnsi="Times New Roman" w:eastAsia="仿宋_GB2312"/>
          <w:color w:val="000000"/>
          <w:sz w:val="32"/>
        </w:rPr>
        <w:t>提高疫情</w:t>
      </w:r>
      <w:r>
        <w:rPr>
          <w:rFonts w:ascii="Times New Roman" w:hAnsi="Times New Roman" w:eastAsia="仿宋_GB2312"/>
          <w:color w:val="000000"/>
          <w:sz w:val="32"/>
          <w:szCs w:val="32"/>
        </w:rPr>
        <w:t>防控、“三保”等重点支出保障能力。</w:t>
      </w:r>
    </w:p>
    <w:p>
      <w:pPr>
        <w:spacing w:line="580" w:lineRule="exact"/>
        <w:ind w:firstLine="643" w:firstLineChars="200"/>
        <w:rPr>
          <w:rFonts w:ascii="Times New Roman" w:hAnsi="Times New Roman" w:eastAsia="仿宋_GB2312"/>
          <w:color w:val="000000"/>
          <w:sz w:val="32"/>
          <w:shd w:val="clear" w:color="auto" w:fill="FFFFFF"/>
        </w:rPr>
      </w:pPr>
      <w:r>
        <w:rPr>
          <w:rFonts w:ascii="Times New Roman" w:hAnsi="Times New Roman" w:eastAsia="楷体_GB2312"/>
          <w:b/>
          <w:bCs/>
          <w:color w:val="000000"/>
          <w:sz w:val="32"/>
        </w:rPr>
        <w:t>（三）进一步惠民生推进乡村振兴。</w:t>
      </w:r>
      <w:r>
        <w:rPr>
          <w:rFonts w:ascii="Times New Roman" w:hAnsi="Times New Roman" w:eastAsia="仿宋_GB2312"/>
          <w:color w:val="000000"/>
          <w:sz w:val="32"/>
          <w:shd w:val="clear" w:color="auto" w:fill="FFFFFF"/>
        </w:rPr>
        <w:t>认真落实省、市确定的各项民生实事，集中更多财力向民生领域倾斜，落实就业优先政策、教育“双减”保障政策，推动养老事业和养老产业发展，持续推进各类民生工程实施。持续做好巩固拓展脱贫攻坚成果同乡村振兴有效衔接工作，不断巩固脱贫攻坚成果。落实支持粮食生产各项政策，推进高标准农田和水利设施以及创建国家现代农业产业园和农业现代化示范区建设，支持新型农业经营主体发展、实施“两强一增”行动、“四好农村路”建设和农村环境“三大革命”“三大行动”，着力改善群众生产生活条件，全面推进乡村振兴，促进实现共同富裕。</w:t>
      </w:r>
    </w:p>
    <w:p>
      <w:pPr>
        <w:spacing w:line="580" w:lineRule="exact"/>
        <w:ind w:firstLine="640"/>
        <w:rPr>
          <w:rFonts w:ascii="Times New Roman" w:hAnsi="Times New Roman" w:eastAsia="仿宋_GB2312"/>
          <w:color w:val="000000"/>
          <w:sz w:val="32"/>
        </w:rPr>
      </w:pPr>
      <w:r>
        <w:rPr>
          <w:rFonts w:ascii="Times New Roman" w:hAnsi="Times New Roman" w:eastAsia="楷体_GB2312"/>
          <w:b/>
          <w:bCs/>
          <w:color w:val="000000"/>
          <w:sz w:val="32"/>
        </w:rPr>
        <w:t>（四）进一步守底线加强风险管控。</w:t>
      </w:r>
      <w:r>
        <w:rPr>
          <w:rFonts w:ascii="Times New Roman" w:hAnsi="Times New Roman" w:eastAsia="仿宋_GB2312"/>
          <w:color w:val="000000"/>
          <w:sz w:val="32"/>
        </w:rPr>
        <w:t>全面落实“借、用、管、还、控”全过程管理规定，严格地方政府债务限额管理和预算管理，主动接受人大依法监督，严格将举债规模控制在上级下达的债务限额内。积极做好专项债项目申报工作，严控新开工项目，非必建项目缓建停建，决不允许新增隐性债务上新项目、铺新摊子。继续完善对县区、部门债券支出进度通报机制、债券支出进度和以后年度债券分配挂钩机制、债券支出进度协调推进和约谈机制，督促指导县区和部门尽快形成实物工作量。严格落实政府债务年度化解计划，采取预算安排、债务展期、合理合规转换为企业经营债务等多种方式，稳妥有序化解存量隐性债务。积极推进政府债务信息公开，完善政府债务风险预警机制，坚决压实主体责任，确保不发生区域性系统性债务风险。</w:t>
      </w:r>
    </w:p>
    <w:p>
      <w:pPr>
        <w:spacing w:line="580" w:lineRule="exact"/>
        <w:ind w:firstLine="640"/>
        <w:rPr>
          <w:rFonts w:ascii="Times New Roman" w:hAnsi="Times New Roman" w:eastAsia="仿宋_GB2312"/>
          <w:b/>
          <w:bCs/>
          <w:color w:val="000000"/>
          <w:sz w:val="32"/>
          <w:szCs w:val="32"/>
        </w:rPr>
      </w:pPr>
      <w:r>
        <w:rPr>
          <w:rFonts w:ascii="Times New Roman" w:hAnsi="Times New Roman" w:eastAsia="楷体_GB2312"/>
          <w:b/>
          <w:bCs/>
          <w:color w:val="000000"/>
          <w:sz w:val="32"/>
        </w:rPr>
        <w:t>（五）进一步促改革提高资金绩效。</w:t>
      </w:r>
      <w:r>
        <w:rPr>
          <w:rFonts w:ascii="Times New Roman" w:hAnsi="Times New Roman" w:eastAsia="仿宋_GB2312"/>
          <w:color w:val="000000"/>
          <w:sz w:val="32"/>
          <w:szCs w:val="32"/>
        </w:rPr>
        <w:t>全面实施零基预算改革，健全完善各项配套措施，深入推进现代预算制度建设。</w:t>
      </w:r>
      <w:r>
        <w:rPr>
          <w:rFonts w:ascii="Times New Roman" w:hAnsi="Times New Roman" w:eastAsia="仿宋_GB2312"/>
          <w:color w:val="000000"/>
          <w:sz w:val="32"/>
          <w:szCs w:val="32"/>
          <w:shd w:val="clear" w:color="auto" w:fill="FFFFFF"/>
        </w:rPr>
        <w:t>强化预算约束，坚持先有预算后有支出，严格按照预算安排支出。</w:t>
      </w:r>
      <w:r>
        <w:rPr>
          <w:rFonts w:ascii="Times New Roman" w:hAnsi="Times New Roman" w:eastAsia="仿宋_GB2312"/>
          <w:color w:val="000000"/>
          <w:sz w:val="32"/>
        </w:rPr>
        <w:t>牢固树立部门绩效主体意识，</w:t>
      </w:r>
      <w:r>
        <w:rPr>
          <w:rFonts w:ascii="Times New Roman" w:hAnsi="Times New Roman" w:eastAsia="仿宋_GB2312"/>
          <w:color w:val="000000"/>
          <w:sz w:val="32"/>
          <w:szCs w:val="32"/>
          <w:shd w:val="clear" w:color="auto" w:fill="FFFFFF"/>
        </w:rPr>
        <w:t>健全权责对等、激励相容的预算绩效管理机制，</w:t>
      </w:r>
      <w:r>
        <w:rPr>
          <w:rFonts w:ascii="Times New Roman" w:hAnsi="Times New Roman" w:eastAsia="仿宋_GB2312"/>
          <w:color w:val="000000"/>
          <w:sz w:val="32"/>
        </w:rPr>
        <w:t>实行预算编制、执行和监督全过程绩效管理，</w:t>
      </w:r>
      <w:r>
        <w:rPr>
          <w:rFonts w:ascii="Times New Roman" w:hAnsi="Times New Roman" w:eastAsia="仿宋_GB2312"/>
          <w:color w:val="000000"/>
          <w:sz w:val="32"/>
          <w:szCs w:val="32"/>
          <w:shd w:val="clear" w:color="auto" w:fill="FFFFFF"/>
        </w:rPr>
        <w:t>加强新增重大政策和项目预算审核与事前绩效评估，</w:t>
      </w:r>
      <w:r>
        <w:rPr>
          <w:rFonts w:ascii="Times New Roman" w:hAnsi="Times New Roman" w:eastAsia="仿宋_GB2312"/>
          <w:color w:val="000000"/>
          <w:sz w:val="32"/>
        </w:rPr>
        <w:t>逐步完善绩效结果与预算安排和政策调整挂钩机制，切实提高资金使用效益。</w:t>
      </w:r>
      <w:r>
        <w:rPr>
          <w:rFonts w:ascii="Times New Roman" w:hAnsi="Times New Roman" w:eastAsia="仿宋_GB2312"/>
          <w:color w:val="000000"/>
          <w:sz w:val="32"/>
          <w:szCs w:val="32"/>
          <w:shd w:val="clear" w:color="auto" w:fill="FFFFFF"/>
        </w:rPr>
        <w:t>全面推进预算管理一体化改革，集中反映单位基础信息和会计核算、资产管理等预算信息，规范和统一预算业务管理，以信息化推进财政治理现代化。加强会计信息质量和中介机构执业质量监督，严格执行各项财经法纪。强化市直党政机关和事业单位经营性国有资产集中统一监管，推动国有资产共享共用，提高财政资源配置效益。巩固国企改革三年行动取得的成果，</w:t>
      </w:r>
      <w:r>
        <w:rPr>
          <w:rFonts w:ascii="Times New Roman" w:hAnsi="Times New Roman" w:eastAsia="仿宋_GB2312"/>
          <w:color w:val="000000"/>
          <w:sz w:val="32"/>
          <w:szCs w:val="32"/>
        </w:rPr>
        <w:t>优化国有资源配置，助力更高质量转型发展。继续配合做好市人大预算联网监督，做好审计问题的整改工作，确保财政资金安全高效使用。</w:t>
      </w:r>
    </w:p>
    <w:p>
      <w:pPr>
        <w:pStyle w:val="6"/>
        <w:adjustRightInd w:val="0"/>
        <w:snapToGrid w:val="0"/>
        <w:spacing w:line="560" w:lineRule="exact"/>
        <w:jc w:val="center"/>
        <w:rPr>
          <w:rFonts w:ascii="黑体" w:hAnsi="黑体" w:eastAsia="黑体" w:cs="黑体"/>
          <w:bCs/>
          <w:sz w:val="36"/>
          <w:szCs w:val="36"/>
        </w:rPr>
      </w:pPr>
      <w:r>
        <w:rPr>
          <w:rFonts w:hint="eastAsia" w:ascii="黑体" w:hAnsi="黑体" w:eastAsia="黑体" w:cs="黑体"/>
          <w:bCs/>
          <w:sz w:val="36"/>
          <w:szCs w:val="36"/>
        </w:rPr>
        <w:t>第二部分 2023年部门预算表</w:t>
      </w:r>
    </w:p>
    <w:p>
      <w:pPr>
        <w:pStyle w:val="6"/>
        <w:adjustRightInd w:val="0"/>
        <w:snapToGrid w:val="0"/>
        <w:spacing w:line="560" w:lineRule="exact"/>
        <w:ind w:firstLine="627" w:firstLineChars="196"/>
        <w:jc w:val="center"/>
        <w:rPr>
          <w:rFonts w:ascii="仿宋" w:hAnsi="仿宋" w:eastAsia="仿宋" w:cs="仿宋"/>
          <w:bCs/>
          <w:sz w:val="32"/>
          <w:szCs w:val="32"/>
        </w:rPr>
      </w:pPr>
      <w:r>
        <w:rPr>
          <w:rFonts w:hint="eastAsia" w:ascii="仿宋" w:hAnsi="仿宋" w:eastAsia="仿宋" w:cs="仿宋"/>
          <w:bCs/>
          <w:sz w:val="32"/>
          <w:szCs w:val="32"/>
        </w:rPr>
        <w:t>见附件1-2</w:t>
      </w:r>
    </w:p>
    <w:p>
      <w:r>
        <w:t xml:space="preserve">                                        </w:t>
      </w:r>
    </w:p>
    <w:p>
      <w:pPr>
        <w:pStyle w:val="6"/>
        <w:adjustRightInd w:val="0"/>
        <w:snapToGrid w:val="0"/>
        <w:spacing w:line="560" w:lineRule="exact"/>
        <w:jc w:val="center"/>
        <w:rPr>
          <w:b/>
          <w:sz w:val="36"/>
          <w:szCs w:val="36"/>
        </w:rPr>
      </w:pPr>
      <w:r>
        <w:rPr>
          <w:rFonts w:hint="eastAsia"/>
          <w:b/>
          <w:sz w:val="36"/>
          <w:szCs w:val="36"/>
        </w:rPr>
        <w:t>第三部分 2023年部门预算情况说明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w:t>
      </w:r>
      <w:r>
        <w:rPr>
          <w:rFonts w:hint="eastAsia" w:ascii="黑体" w:hAnsi="黑体" w:eastAsia="黑体" w:cs="黑体"/>
          <w:bCs/>
          <w:sz w:val="32"/>
          <w:szCs w:val="32"/>
        </w:rPr>
        <w:t>于2023年</w:t>
      </w:r>
      <w:r>
        <w:rPr>
          <w:rFonts w:hint="eastAsia" w:ascii="TimesNewRoman" w:hAnsi="TimesNewRoman" w:eastAsia="黑体" w:cs="TimesNewRoman"/>
          <w:bCs/>
          <w:sz w:val="32"/>
          <w:szCs w:val="32"/>
        </w:rPr>
        <w:t>收支总表的说明</w:t>
      </w:r>
    </w:p>
    <w:p>
      <w:pPr>
        <w:pStyle w:val="6"/>
        <w:adjustRightInd w:val="0"/>
        <w:snapToGrid w:val="0"/>
        <w:spacing w:line="560" w:lineRule="exact"/>
        <w:ind w:firstLine="627" w:firstLineChars="196"/>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按照综合预算的原则，淮北市财政局（国资委）所有收入和支出均纳入部门预算管理。淮北市财政局（国资委）2023年收支总预算3104.23万元，收入包括一般公共预算拨款收入3104.23万元。支出包括：一般公共服务支出2359.73万元、社会保障和就业支出409.36万元、卫生健康支出89.83万元、住房保障支出245.31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2023年收</w:t>
      </w:r>
      <w:r>
        <w:rPr>
          <w:rFonts w:hint="eastAsia" w:ascii="TimesNewRoman" w:hAnsi="TimesNewRoman" w:eastAsia="黑体" w:cs="TimesNewRoman"/>
          <w:bCs/>
          <w:sz w:val="32"/>
          <w:szCs w:val="32"/>
        </w:rPr>
        <w:t>入总表的说明</w:t>
      </w:r>
    </w:p>
    <w:p>
      <w:pPr>
        <w:ind w:firstLine="640" w:firstLineChars="200"/>
        <w:rPr>
          <w:rFonts w:hint="eastAsia" w:ascii="TimesNewRoman" w:hAnsi="TimesNewRoman" w:eastAsia="仿宋_GB2312" w:cs="TimesNewRoman"/>
          <w:kern w:val="0"/>
          <w:sz w:val="32"/>
          <w:szCs w:val="32"/>
          <w:lang w:eastAsia="zh-CN"/>
        </w:rPr>
      </w:pPr>
      <w:r>
        <w:rPr>
          <w:rFonts w:hint="eastAsia" w:ascii="仿宋_GB2312" w:hAnsi="仿宋" w:eastAsia="仿宋_GB2312" w:cs="宋体"/>
          <w:kern w:val="0"/>
          <w:sz w:val="32"/>
          <w:szCs w:val="32"/>
        </w:rPr>
        <w:t>淮北市财政局（国资委）</w:t>
      </w:r>
      <w:r>
        <w:rPr>
          <w:rFonts w:hint="eastAsia" w:ascii="仿宋_GB2312" w:hAnsi="仿宋" w:eastAsia="仿宋_GB2312"/>
          <w:sz w:val="32"/>
          <w:szCs w:val="32"/>
        </w:rPr>
        <w:t>2023年收入预算3104.23万元，其中，本年收入3104.23万元。收入全部是一般公共预算拨款收入3104.23万元，占100%，比2022年预算增加1097.33万元，增长54.68%，</w:t>
      </w:r>
      <w:r>
        <w:rPr>
          <w:rFonts w:hint="eastAsia" w:ascii="TimesNewRoman" w:hAnsi="TimesNewRoman" w:eastAsia="仿宋_GB2312" w:cs="TimesNewRoman"/>
          <w:kern w:val="0"/>
          <w:sz w:val="32"/>
          <w:szCs w:val="32"/>
        </w:rPr>
        <w:t>原因主要是基本支出增加</w:t>
      </w:r>
      <w:r>
        <w:rPr>
          <w:rFonts w:hint="eastAsia" w:ascii="仿宋_GB2312" w:hAnsi="仿宋" w:eastAsia="仿宋_GB2312"/>
          <w:sz w:val="32"/>
          <w:szCs w:val="32"/>
        </w:rPr>
        <w:t>539.43</w:t>
      </w:r>
      <w:r>
        <w:rPr>
          <w:rFonts w:hint="eastAsia" w:ascii="TimesNewRoman" w:hAnsi="TimesNewRoman" w:eastAsia="仿宋_GB2312" w:cs="TimesNewRoman"/>
          <w:kern w:val="0"/>
          <w:sz w:val="32"/>
          <w:szCs w:val="32"/>
        </w:rPr>
        <w:t>万元；</w:t>
      </w:r>
      <w:r>
        <w:rPr>
          <w:rFonts w:hint="eastAsia" w:ascii="仿宋_GB2312" w:hAnsi="仿宋" w:eastAsia="仿宋_GB2312"/>
          <w:sz w:val="32"/>
          <w:szCs w:val="32"/>
        </w:rPr>
        <w:t>项目支出增加557.9万元，其中</w:t>
      </w:r>
      <w:r>
        <w:rPr>
          <w:rFonts w:hint="eastAsia" w:ascii="仿宋_GB2312" w:hAnsi="仿宋" w:eastAsia="仿宋_GB2312"/>
          <w:sz w:val="32"/>
          <w:szCs w:val="32"/>
          <w:lang w:eastAsia="zh-CN"/>
        </w:rPr>
        <w:t>，</w:t>
      </w:r>
      <w:r>
        <w:rPr>
          <w:rFonts w:hint="eastAsia" w:ascii="TimesNewRoman" w:hAnsi="TimesNewRoman" w:eastAsia="仿宋_GB2312" w:cs="TimesNewRoman"/>
          <w:kern w:val="0"/>
          <w:sz w:val="32"/>
          <w:szCs w:val="32"/>
        </w:rPr>
        <w:t>按照预算编制要求，以前年度列入科室专项的国库改革运行经费、综合治税运行经费、乡镇财政监管体系建设等项目列入年初部门预算，增加项目支出</w:t>
      </w:r>
      <w:r>
        <w:rPr>
          <w:rFonts w:hint="eastAsia" w:ascii="仿宋_GB2312" w:hAnsi="仿宋" w:eastAsia="仿宋_GB2312"/>
          <w:sz w:val="32"/>
          <w:szCs w:val="32"/>
        </w:rPr>
        <w:t>471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办公楼运行维护费、财政网络系统运维服务费、国库集中支付运转经费分别增加6万元、72.9万元、23万元；财政监督绩效管理经费减少15万元</w:t>
      </w:r>
      <w:r>
        <w:rPr>
          <w:rFonts w:hint="eastAsia" w:ascii="仿宋_GB2312" w:hAnsi="仿宋" w:eastAsia="仿宋_GB2312"/>
          <w:sz w:val="32"/>
          <w:szCs w:val="32"/>
          <w:lang w:eastAsia="zh-CN"/>
        </w:rPr>
        <w:t>。</w:t>
      </w:r>
    </w:p>
    <w:p>
      <w:pPr>
        <w:pStyle w:val="6"/>
        <w:adjustRightInd w:val="0"/>
        <w:snapToGrid w:val="0"/>
        <w:spacing w:line="560" w:lineRule="exact"/>
        <w:ind w:firstLine="630" w:firstLineChars="196"/>
        <w:rPr>
          <w:bCs/>
          <w:sz w:val="32"/>
          <w:szCs w:val="32"/>
        </w:rPr>
      </w:pPr>
      <w:r>
        <w:rPr>
          <w:rFonts w:hint="eastAsia"/>
          <w:b/>
          <w:sz w:val="32"/>
          <w:szCs w:val="32"/>
        </w:rPr>
        <w:t>三、关于</w:t>
      </w:r>
      <w:r>
        <w:rPr>
          <w:rFonts w:hint="eastAsia"/>
          <w:b/>
          <w:kern w:val="2"/>
          <w:sz w:val="32"/>
          <w:szCs w:val="32"/>
        </w:rPr>
        <w:t>2023</w:t>
      </w:r>
      <w:r>
        <w:rPr>
          <w:rFonts w:hint="eastAsia"/>
          <w:b/>
          <w:sz w:val="32"/>
          <w:szCs w:val="32"/>
        </w:rPr>
        <w:t>年支出总表的说明</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宋体"/>
          <w:kern w:val="0"/>
          <w:sz w:val="32"/>
          <w:szCs w:val="32"/>
        </w:rPr>
        <w:t>淮北市财政局（国资委）</w:t>
      </w:r>
      <w:r>
        <w:rPr>
          <w:rFonts w:hint="eastAsia" w:ascii="仿宋_GB2312" w:hAnsi="仿宋" w:eastAsia="仿宋_GB2312"/>
          <w:sz w:val="32"/>
          <w:szCs w:val="32"/>
        </w:rPr>
        <w:t>2023年支出预算3104.23万元，1097.33万元，增长54.68%，原因主要是基本支出增加539.43万元；项目支出增加557.9万元。其中，基本支出2145.23万元，占69.11%，主要用于保障机构日常运转、完成日常工作任务；项目支出959万元，占30.89%，主要用于大楼运行维护、财政国资业务、单位运行劳务费、财政网络系统运维服务、财政监督绩效管理、</w:t>
      </w:r>
      <w:r>
        <w:rPr>
          <w:rFonts w:hint="eastAsia" w:ascii="TimesNewRoman" w:hAnsi="TimesNewRoman" w:eastAsia="仿宋_GB2312" w:cs="TimesNewRoman"/>
          <w:kern w:val="0"/>
          <w:sz w:val="32"/>
          <w:szCs w:val="32"/>
        </w:rPr>
        <w:t>国库改革运行、乡镇财政监管体系建设等财政业务支出。</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四、关于2023年财政拨款收支总表的说明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财政拨款收支预算3104.23万元。收入按资金来源分为：一般公共预算拨款3104.23万元；按资金年度分为：本年财政拨款收入3104.23万元。支出按功能分类分为：一般公共服务支出2359.73万元，占76.02%；社会保障和就业支出409.36万元，占13.19%；卫生健康支出89.83万元，占2.89%；住房保障支出245.31万元，占7.9%。</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五、关于2023年一般公共预算支出表的说明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sz w:val="32"/>
          <w:szCs w:val="32"/>
        </w:rPr>
        <w:t>淮北市财政局（国资委）2023年一般公共预算支出3104.23万元，比2022年预算增加1097.33万元，增长54.68%，主要原因：一是基本支出增加539.43万元；二是项目支出增加557.9万元，其中</w:t>
      </w:r>
      <w:r>
        <w:rPr>
          <w:rFonts w:hint="eastAsia" w:ascii="仿宋_GB2312" w:hAnsi="仿宋" w:eastAsia="仿宋_GB2312"/>
          <w:sz w:val="32"/>
          <w:szCs w:val="32"/>
          <w:lang w:eastAsia="zh-CN"/>
        </w:rPr>
        <w:t>，</w:t>
      </w:r>
      <w:r>
        <w:rPr>
          <w:rFonts w:hint="eastAsia" w:ascii="TimesNewRoman" w:hAnsi="TimesNewRoman" w:eastAsia="仿宋_GB2312" w:cs="TimesNewRoman"/>
          <w:kern w:val="0"/>
          <w:sz w:val="32"/>
          <w:szCs w:val="32"/>
        </w:rPr>
        <w:t>按照预算编制要求，以前年度列入科室专项的国库改革运行经费、综合治税运行经费、乡镇财政监管体系建设等项目列入年初部门预算，增加项目支出</w:t>
      </w:r>
      <w:r>
        <w:rPr>
          <w:rFonts w:hint="eastAsia" w:ascii="仿宋_GB2312" w:hAnsi="仿宋" w:eastAsia="仿宋_GB2312"/>
          <w:sz w:val="32"/>
          <w:szCs w:val="32"/>
        </w:rPr>
        <w:t>471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办公楼运行维护费、财政网络系统运维服务费、国库集中支付运转经费分别增加6万元、72.9万元、23万元；财政监督绩效管理经费减少15万元</w:t>
      </w:r>
      <w:r>
        <w:rPr>
          <w:rFonts w:hint="eastAsia" w:ascii="仿宋_GB2312" w:hAnsi="仿宋" w:eastAsia="仿宋_GB2312"/>
          <w:sz w:val="32"/>
          <w:szCs w:val="32"/>
          <w:lang w:eastAsia="zh-CN"/>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一般公共服务支出2359.73万元，占76.02%；社会保障和就业支出409.36万元，占13.19%；卫生健康支出89.83万元，占2.89%；住房保障支出245.31万元，占7.9%。</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一般公共服务支出（类）财政事务（款）行政运行（项）2023年预算1258.07万元，比2022年预算增加243.18万元，增长23.96%，原因主要是人员经费津贴补贴及绩效工资的增加；一般公共服务支出（类）财政事务（款）一般行政管理事务（项）2023年预算423万元，比2022年预算增加21.9万元，增长5.46%，原因主要是财政网络系统运维服务费项目增加；一般公共服务支出（类）财政事务（款）财政国库业务（项）2023年预算164万，比2022年预算增加164万元，增长100%，原因主要是按照预算编制要求国库改革运行经费列入部门预算；一般公共服务支出（类）财政事务（款）事业运行（项）2023年预算142.66万元，比2022年预算增加54.16万元，增长61.2%，原因主要是人员经费津贴补贴及绩效工资的增加；一般公共服务支出（类）财政事务（款）其他财政事务（项）2023年预算372万元，比2022年预算增加365.1万元，增长5291.3%，原因主要是按照预算编制要求乡镇财政监管体系建设、农村综合改革经费等项目列入部门预算。</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社会保障和就业支出（类）行政事业单位离退休（款）归口管理的行政事业单位离退休（项）2023年预算145.59万元，比2022年预算增加121.49万元，增长504.1%，原因主要是退休人员基础绩效列入部门年初预算；社会保障和就业支出（类）行政事业单位养老支出（款）机关事业单位基本养老保险缴费支出（项）2023年预算174.5万元，比2022年预算增加51.4万元，增长41.75%，原因主要是养老保险缴费基数提高增加基本养老保金缴费额；社会保障和就业支出（类）行政事业单位养老支出（款）机关事业单位职业年金缴费支出（项）2023年预算87.25万元，比2022年预算增加25.75万元，增长41.87%，原因主要是职业年金基数提高增加职业年金缴费额；社会保障和就业支出（类）其他社会保障和就业支出（款）其他社会保障和就业支出社会保障和就业支出（项）2023年预算2.02万元，比2022年预算增加1.52万元，增长304%，原因主要是政策性调整社保基数及人员变动增加其他社保缴费额。</w:t>
      </w:r>
    </w:p>
    <w:p>
      <w:pPr>
        <w:ind w:firstLine="640" w:firstLineChars="200"/>
        <w:rPr>
          <w:rFonts w:ascii="仿宋_GB2312" w:hAnsi="仿宋" w:eastAsia="仿宋_GB2312"/>
          <w:sz w:val="32"/>
          <w:szCs w:val="32"/>
        </w:rPr>
      </w:pPr>
      <w:r>
        <w:rPr>
          <w:rFonts w:hint="eastAsia" w:ascii="仿宋_GB2312" w:hAnsi="仿宋" w:eastAsia="仿宋_GB2312"/>
          <w:sz w:val="32"/>
          <w:szCs w:val="32"/>
        </w:rPr>
        <w:t>3、卫生健康支出（类）行政事业单位医疗（款）行政单位医疗（项）2023年预算66.19万元，比2022年预算增加1.59万元，增长2.46%，原因主要是行政事业单位医疗随工资变动增加；卫生健康支出（类）行政事业单位医疗（款）公务员医疗补助（项）2023年预算23.64万元，比2022年预算减少5.76万元，下降19.59%，原因主要是政策性调整公务员医疗补助缴费额。</w:t>
      </w:r>
    </w:p>
    <w:p>
      <w:pPr>
        <w:ind w:firstLine="640" w:firstLineChars="200"/>
        <w:rPr>
          <w:rFonts w:ascii="仿宋_GB2312" w:hAnsi="仿宋" w:eastAsia="仿宋_GB2312"/>
          <w:color w:val="FF0000"/>
          <w:sz w:val="32"/>
          <w:szCs w:val="32"/>
        </w:rPr>
      </w:pPr>
      <w:r>
        <w:rPr>
          <w:rFonts w:hint="eastAsia" w:ascii="仿宋_GB2312" w:hAnsi="仿宋" w:eastAsia="仿宋_GB2312"/>
          <w:sz w:val="32"/>
          <w:szCs w:val="32"/>
        </w:rPr>
        <w:t>4、住房保障支出（类）住房改革支出（款）住房公积金（项）2023年预算173.16万元，比2022年预算增加32.66万元，增长23.25%，原因主要是住房公积金基数提高增加住房公积金缴费额；住房保障支出（类）住房改革支出（款）购房补贴（项）2023年预算72.15万元，比2022年预算增加13.65万元，原因主要是购房补贴基数提高增加购房补贴缴费额。</w:t>
      </w:r>
      <w:r>
        <w:rPr>
          <w:rFonts w:hint="eastAsia" w:ascii="仿宋_GB2312" w:hAnsi="仿宋" w:eastAsia="仿宋_GB2312"/>
          <w:color w:val="FF0000"/>
          <w:sz w:val="32"/>
          <w:szCs w:val="32"/>
        </w:rPr>
        <w:t xml:space="preserve">    </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六、关于2023年一般公共预算基本支出表的说明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淮北市财政局（国资委）2023年一般公共预算基本支出2145.23万元，其中，人员经费1911.2万元，公用经费234.03万元。</w:t>
      </w:r>
    </w:p>
    <w:p>
      <w:pPr>
        <w:ind w:firstLine="643" w:firstLineChars="200"/>
        <w:rPr>
          <w:rFonts w:ascii="仿宋_GB2312" w:hAnsi="仿宋" w:eastAsia="仿宋_GB2312"/>
          <w:sz w:val="32"/>
          <w:szCs w:val="32"/>
        </w:rPr>
      </w:pPr>
      <w:r>
        <w:rPr>
          <w:rFonts w:hint="eastAsia" w:ascii="TimesNewRoman" w:hAnsi="TimesNewRoman" w:eastAsia="仿宋_GB2312" w:cs="TimesNewRoman"/>
          <w:b/>
          <w:kern w:val="0"/>
          <w:sz w:val="32"/>
          <w:szCs w:val="32"/>
        </w:rPr>
        <w:t>（一）人员经费</w:t>
      </w:r>
      <w:r>
        <w:rPr>
          <w:rFonts w:hint="eastAsia" w:ascii="仿宋_GB2312" w:hAnsi="仿宋" w:eastAsia="仿宋_GB2312"/>
          <w:sz w:val="32"/>
          <w:szCs w:val="32"/>
        </w:rPr>
        <w:t>1911.2万元，主要包括:基本工资、津贴补贴、奖金、绩效工资、机关事业单位基本养老保险费、职业年金缴费、职工基本医疗保险缴费、公务员医疗补助缴费、其他社会保障缴费、住房公积金、其他工资福利支出、退休费、生活补助、医疗费补助及对其他个人和家庭的补助支出。</w:t>
      </w:r>
    </w:p>
    <w:p>
      <w:pPr>
        <w:ind w:firstLine="643" w:firstLineChars="200"/>
        <w:rPr>
          <w:rFonts w:ascii="仿宋_GB2312" w:hAnsi="仿宋" w:eastAsia="仿宋_GB2312"/>
          <w:sz w:val="32"/>
          <w:szCs w:val="32"/>
        </w:rPr>
      </w:pPr>
      <w:r>
        <w:rPr>
          <w:rFonts w:hint="eastAsia" w:ascii="TimesNewRoman" w:hAnsi="TimesNewRoman" w:eastAsia="仿宋_GB2312" w:cs="TimesNewRoman"/>
          <w:b/>
          <w:kern w:val="0"/>
          <w:sz w:val="32"/>
          <w:szCs w:val="32"/>
        </w:rPr>
        <w:t>（二）公用经费</w:t>
      </w:r>
      <w:r>
        <w:rPr>
          <w:rFonts w:hint="eastAsia" w:ascii="仿宋_GB2312" w:hAnsi="仿宋" w:eastAsia="仿宋_GB2312"/>
          <w:sz w:val="32"/>
          <w:szCs w:val="32"/>
        </w:rPr>
        <w:t>234.03万元，主要包括：办公费、印刷费、邮电费、差旅费、会议费、公务接待费、工会经费、福利费、其他交通费用、其他商品服务支出等。</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七、关于2023年政府性基金预算支出表的说明</w:t>
      </w:r>
    </w:p>
    <w:p>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淮北市财政局（国资委）2023年没有政府性基金预算拨款收入，也没有使用政府性基金预算拨款安排的支出。</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八、关于2023年国有资本经营预算支出表的说明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淮北市财政局（国资委）2023年没有国有资本经营预算拨款收入，也没有使用国有资本经营预算拨款安排的支出。</w:t>
      </w:r>
    </w:p>
    <w:p>
      <w:pPr>
        <w:pStyle w:val="6"/>
        <w:numPr>
          <w:ilvl w:val="0"/>
          <w:numId w:val="1"/>
        </w:numPr>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关于2023年项目支出表的说明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淮北市财政局（国资委）2023年预算共安排项目支出959万元。比2022年预算增加557.9万元，增长139.09%，原因主要是</w:t>
      </w:r>
      <w:bookmarkStart w:id="0" w:name="_GoBack"/>
      <w:bookmarkEnd w:id="0"/>
      <w:r>
        <w:rPr>
          <w:rFonts w:hint="eastAsia" w:ascii="仿宋_GB2312" w:hAnsi="仿宋" w:eastAsia="仿宋_GB2312"/>
          <w:sz w:val="32"/>
          <w:szCs w:val="32"/>
        </w:rPr>
        <w:t>其中</w:t>
      </w:r>
      <w:r>
        <w:rPr>
          <w:rFonts w:hint="eastAsia" w:ascii="仿宋_GB2312" w:hAnsi="仿宋" w:eastAsia="仿宋_GB2312"/>
          <w:sz w:val="32"/>
          <w:szCs w:val="32"/>
          <w:lang w:eastAsia="zh-CN"/>
        </w:rPr>
        <w:t>，</w:t>
      </w:r>
      <w:r>
        <w:rPr>
          <w:rFonts w:hint="eastAsia" w:ascii="TimesNewRoman" w:hAnsi="TimesNewRoman" w:eastAsia="仿宋_GB2312" w:cs="TimesNewRoman"/>
          <w:kern w:val="0"/>
          <w:sz w:val="32"/>
          <w:szCs w:val="32"/>
        </w:rPr>
        <w:t>按照预算编制要求，以前年度列入科室专项的国库改革运行经费、综合治税运行经费、乡镇财政监管体系建设等项目列入年初部门预算，增加项目支出</w:t>
      </w:r>
      <w:r>
        <w:rPr>
          <w:rFonts w:hint="eastAsia" w:ascii="仿宋_GB2312" w:hAnsi="仿宋" w:eastAsia="仿宋_GB2312"/>
          <w:sz w:val="32"/>
          <w:szCs w:val="32"/>
        </w:rPr>
        <w:t>471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办公楼运行维护费、财政网络系统运维服务费、国库集中支付运转经费分别增加6万元、72.9万元、23万元；财政监督绩效管理经费减少15万元</w:t>
      </w:r>
      <w:r>
        <w:rPr>
          <w:rFonts w:hint="eastAsia" w:ascii="仿宋_GB2312" w:hAnsi="仿宋" w:eastAsia="仿宋_GB2312"/>
          <w:sz w:val="32"/>
          <w:szCs w:val="32"/>
          <w:lang w:eastAsia="zh-CN"/>
        </w:rPr>
        <w:t>。</w:t>
      </w:r>
      <w:r>
        <w:rPr>
          <w:rFonts w:hint="eastAsia" w:ascii="仿宋_GB2312" w:hAnsi="仿宋" w:eastAsia="仿宋_GB2312"/>
          <w:sz w:val="32"/>
          <w:szCs w:val="32"/>
        </w:rPr>
        <w:t>主要包括：本年财政拨款安排 959万元。其中，一般公共预算拨款安排959万元。</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十、关于2023年政府采购支出表的说明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淮北市财政局（国资委）2023年预算安排政府采购支出160.92万元，比2022年预算增加137.92万元，增长599.65%，</w:t>
      </w:r>
      <w:r>
        <w:rPr>
          <w:rFonts w:hint="eastAsia" w:ascii="仿宋_GB2312" w:hAnsi="仿宋" w:eastAsia="仿宋_GB2312"/>
          <w:sz w:val="32"/>
          <w:szCs w:val="32"/>
          <w:lang w:eastAsia="zh-CN"/>
        </w:rPr>
        <w:t>增加的</w:t>
      </w:r>
      <w:r>
        <w:rPr>
          <w:rFonts w:hint="eastAsia" w:ascii="仿宋_GB2312" w:hAnsi="仿宋" w:eastAsia="仿宋_GB2312"/>
          <w:sz w:val="32"/>
          <w:szCs w:val="32"/>
        </w:rPr>
        <w:t>主要原因是按照预算编制要求</w:t>
      </w:r>
      <w:r>
        <w:rPr>
          <w:rFonts w:hint="eastAsia" w:ascii="仿宋_GB2312" w:hAnsi="仿宋" w:eastAsia="仿宋_GB2312"/>
          <w:sz w:val="32"/>
          <w:szCs w:val="32"/>
          <w:lang w:eastAsia="zh-CN"/>
        </w:rPr>
        <w:t>将去年列入科室专项的</w:t>
      </w:r>
      <w:r>
        <w:rPr>
          <w:rFonts w:hint="eastAsia" w:ascii="仿宋_GB2312" w:hAnsi="仿宋" w:eastAsia="仿宋_GB2312"/>
          <w:sz w:val="32"/>
          <w:szCs w:val="32"/>
        </w:rPr>
        <w:t>财政网络系统运维服务及会计及注会考试考务政府采购支出</w:t>
      </w:r>
      <w:r>
        <w:rPr>
          <w:rFonts w:hint="eastAsia" w:ascii="仿宋_GB2312" w:hAnsi="仿宋" w:eastAsia="仿宋_GB2312"/>
          <w:sz w:val="32"/>
          <w:szCs w:val="32"/>
          <w:lang w:eastAsia="zh-CN"/>
        </w:rPr>
        <w:t>，今年列入部门预算</w:t>
      </w:r>
      <w:r>
        <w:rPr>
          <w:rFonts w:hint="eastAsia" w:ascii="仿宋_GB2312" w:hAnsi="仿宋" w:eastAsia="仿宋_GB2312"/>
          <w:sz w:val="32"/>
          <w:szCs w:val="32"/>
        </w:rPr>
        <w:t>。其中，一般公共预算安排160.92万元，占100%。</w:t>
      </w:r>
    </w:p>
    <w:p>
      <w:pPr>
        <w:pStyle w:val="6"/>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十一、关于2023年政府购买服务支出表的说明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淮北市财政局（国资委）2023年预算安排政府购买服务支出263.98万元，比2022年预算增加187.68万元，增长245.98%，原因主要是增加财政网络系统运维服务、财政监督绩效管理经费等项目的政府购买服务。</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3" w:firstLineChars="200"/>
        <w:rPr>
          <w:rFonts w:ascii="TimesNewRoman" w:hAnsi="TimesNewRoman" w:eastAsia="仿宋_GB2312" w:cs="TimesNewRoman"/>
          <w:kern w:val="0"/>
          <w:sz w:val="32"/>
          <w:szCs w:val="32"/>
        </w:rPr>
      </w:pPr>
      <w:r>
        <w:rPr>
          <w:rFonts w:hint="eastAsia" w:ascii="仿宋_GB2312" w:hAnsi="楷体" w:eastAsia="仿宋_GB2312"/>
          <w:b/>
          <w:sz w:val="32"/>
          <w:szCs w:val="32"/>
        </w:rPr>
        <w:t>1、“财政网络系统运维服务费</w:t>
      </w:r>
      <w:r>
        <w:rPr>
          <w:rFonts w:hint="eastAsia" w:ascii="TimesNewRoman" w:hAnsi="TimesNewRoman" w:eastAsia="仿宋_GB2312" w:cs="TimesNewRoman"/>
          <w:kern w:val="0"/>
          <w:sz w:val="32"/>
          <w:szCs w:val="32"/>
        </w:rPr>
        <w:t>”项目。</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主要用于保障财政网络系统的日常运维服务等相关支出，主要包括：政府采购云平台、资产管理系统、非税征管系统、地方政府债务管理系统、政务公开系统、预算管理一体化钉钉智能平台、机房安全运维等。</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（2）立项依据。根据《预算法》和深化国库集中改革的要求、加强地方政府债务管理、行政事业单位资产管理等有关规定。</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（3）实施主体。淮北市财政局</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（4）起止时间。2023年1月至12月</w:t>
      </w:r>
    </w:p>
    <w:p>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sz w:val="32"/>
          <w:szCs w:val="32"/>
        </w:rPr>
        <w:t>主要用于财政各网络系统的运维</w:t>
      </w:r>
      <w:r>
        <w:rPr>
          <w:rFonts w:hint="eastAsia" w:ascii="仿宋_GB2312" w:hAnsi="仿宋" w:eastAsia="仿宋_GB2312"/>
          <w:sz w:val="32"/>
          <w:szCs w:val="32"/>
        </w:rPr>
        <w:t>服务费用。</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sz w:val="32"/>
          <w:szCs w:val="32"/>
        </w:rPr>
        <w:t>147</w:t>
      </w:r>
      <w:r>
        <w:rPr>
          <w:rFonts w:hint="eastAsia" w:ascii="仿宋_GB2312" w:hAnsi="仿宋_GB2312" w:eastAsia="仿宋_GB2312" w:cs="仿宋_GB2312"/>
          <w:kern w:val="0"/>
          <w:sz w:val="32"/>
          <w:szCs w:val="32"/>
        </w:rPr>
        <w:t>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bCs/>
                <w:sz w:val="20"/>
                <w:szCs w:val="20"/>
              </w:rPr>
              <w:t>财政网络系统运维服务费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hAnsi="宋体" w:eastAsia="宋体" w:cs="宋体"/>
                <w:color w:val="000000"/>
                <w:kern w:val="0"/>
                <w:sz w:val="20"/>
                <w:szCs w:val="20"/>
              </w:rPr>
              <w:t>淮北市财政局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一般公共预算安排</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ascii="宋体" w:hAnsi="宋体" w:eastAsia="宋体" w:cs="宋体"/>
                <w:color w:val="000000"/>
                <w:kern w:val="0"/>
                <w:sz w:val="20"/>
                <w:szCs w:val="20"/>
              </w:rPr>
              <w:t>2023年1月至12月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hAnsi="宋体" w:eastAsia="宋体" w:cs="宋体"/>
                <w:color w:val="000000"/>
                <w:kern w:val="0"/>
                <w:sz w:val="20"/>
                <w:szCs w:val="20"/>
                <w:lang w:bidi="ar"/>
              </w:rPr>
              <w:t>保障财政各网络系统的正常运行，提高公共服务能力和财政管理效率。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spacing w:before="60" w:line="288"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实施各项财政系统的维护，适应财政科学化、信息规范化的需要</w:t>
            </w:r>
          </w:p>
        </w:tc>
        <w:tc>
          <w:tcPr>
            <w:tcW w:w="4228" w:type="dxa"/>
            <w:gridSpan w:val="2"/>
            <w:tcBorders>
              <w:tl2br w:val="nil"/>
              <w:tr2bl w:val="nil"/>
            </w:tcBorders>
            <w:vAlign w:val="center"/>
          </w:tcPr>
          <w:p>
            <w:pPr>
              <w:jc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15个系统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spacing w:before="60" w:line="288"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指标1：运维服务达标率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spacing w:before="60" w:line="288" w:lineRule="atLeas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指标1：保障财政业务及时顺利安全运行</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sz w:val="20"/>
                <w:szCs w:val="20"/>
              </w:rPr>
              <w:t>完成本年度</w:t>
            </w:r>
            <w:r>
              <w:rPr>
                <w:rFonts w:hint="eastAsia" w:ascii="宋体" w:hAnsi="宋体" w:eastAsia="宋体" w:cs="宋体"/>
                <w:bCs/>
                <w:sz w:val="20"/>
                <w:szCs w:val="20"/>
              </w:rPr>
              <w:t>网络系统运维服务</w:t>
            </w:r>
            <w:r>
              <w:rPr>
                <w:rFonts w:hint="eastAsia"/>
                <w:sz w:val="20"/>
                <w:szCs w:val="20"/>
              </w:rPr>
              <w:t>费用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spacing w:before="60" w:line="288" w:lineRule="atLeast"/>
              <w:jc w:val="left"/>
              <w:rPr>
                <w:sz w:val="20"/>
                <w:szCs w:val="20"/>
              </w:rPr>
            </w:pPr>
            <w:r>
              <w:rPr>
                <w:rFonts w:hint="eastAsia" w:ascii="宋体" w:hAnsi="宋体" w:eastAsia="宋体" w:cs="宋体"/>
                <w:color w:val="000000"/>
                <w:kern w:val="0"/>
                <w:sz w:val="20"/>
                <w:szCs w:val="20"/>
              </w:rPr>
              <w:t>指标1：</w:t>
            </w:r>
            <w:r>
              <w:rPr>
                <w:sz w:val="20"/>
                <w:szCs w:val="20"/>
              </w:rPr>
              <w:t>减少项目运行成本、运维费用</w:t>
            </w:r>
            <w:r>
              <w:rPr>
                <w:rFonts w:hint="eastAsia"/>
                <w:sz w:val="20"/>
                <w:szCs w:val="20"/>
              </w:rPr>
              <w:t>，</w:t>
            </w:r>
            <w:r>
              <w:rPr>
                <w:sz w:val="20"/>
                <w:szCs w:val="20"/>
              </w:rPr>
              <w:t>为提高财政执行力提供长期保障</w:t>
            </w:r>
            <w:r>
              <w:rPr>
                <w:rFonts w:hint="eastAsia"/>
                <w:sz w:val="20"/>
                <w:szCs w:val="20"/>
              </w:rPr>
              <w:t>。</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spacing w:before="60" w:line="288" w:lineRule="atLeast"/>
              <w:jc w:val="left"/>
              <w:rPr>
                <w:rFonts w:hint="eastAsia"/>
                <w:sz w:val="20"/>
                <w:szCs w:val="20"/>
              </w:rPr>
            </w:pPr>
            <w:r>
              <w:rPr>
                <w:rFonts w:hint="eastAsia" w:ascii="宋体" w:hAnsi="宋体" w:eastAsia="宋体" w:cs="宋体"/>
                <w:color w:val="000000"/>
                <w:kern w:val="0"/>
                <w:sz w:val="20"/>
                <w:szCs w:val="20"/>
              </w:rPr>
              <w:t>指标1：</w:t>
            </w:r>
            <w:r>
              <w:rPr>
                <w:sz w:val="20"/>
                <w:szCs w:val="20"/>
              </w:rPr>
              <w:t>信息技术推广的影响程度</w:t>
            </w:r>
            <w:r>
              <w:rPr>
                <w:rFonts w:hint="eastAsia"/>
                <w:sz w:val="20"/>
                <w:szCs w:val="20"/>
              </w:rPr>
              <w:t>，</w:t>
            </w:r>
            <w:r>
              <w:rPr>
                <w:sz w:val="20"/>
                <w:szCs w:val="20"/>
              </w:rPr>
              <w:t>保障财政各网络系统的正常运行，提高公共服务能力和财政管理效率。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spacing w:before="60" w:line="288" w:lineRule="atLeast"/>
              <w:jc w:val="left"/>
              <w:rPr>
                <w:sz w:val="20"/>
                <w:szCs w:val="20"/>
              </w:rPr>
            </w:pPr>
            <w:r>
              <w:rPr>
                <w:rFonts w:hint="eastAsia" w:ascii="宋体" w:hAnsi="宋体" w:eastAsia="宋体" w:cs="宋体"/>
                <w:color w:val="000000"/>
                <w:kern w:val="0"/>
                <w:sz w:val="20"/>
                <w:szCs w:val="20"/>
              </w:rPr>
              <w:t>指标1：</w:t>
            </w:r>
            <w:r>
              <w:rPr>
                <w:sz w:val="20"/>
                <w:szCs w:val="20"/>
              </w:rPr>
              <w:t>对减少硬件能耗支出，实现节能减排的影响程度</w:t>
            </w:r>
            <w:r>
              <w:rPr>
                <w:rFonts w:hint="eastAsia"/>
                <w:sz w:val="20"/>
                <w:szCs w:val="20"/>
              </w:rPr>
              <w:t>。</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spacing w:before="60" w:line="288" w:lineRule="atLeast"/>
              <w:jc w:val="left"/>
              <w:rPr>
                <w:sz w:val="20"/>
                <w:szCs w:val="20"/>
              </w:rPr>
            </w:pPr>
            <w:r>
              <w:rPr>
                <w:rFonts w:hint="eastAsia" w:ascii="宋体" w:hAnsi="宋体" w:eastAsia="宋体" w:cs="宋体"/>
                <w:color w:val="000000"/>
                <w:kern w:val="0"/>
                <w:sz w:val="20"/>
                <w:szCs w:val="20"/>
              </w:rPr>
              <w:t>指标1：</w:t>
            </w:r>
            <w:r>
              <w:rPr>
                <w:sz w:val="20"/>
                <w:szCs w:val="20"/>
              </w:rPr>
              <w:t>信息化系统建设为提高财政执行力提供长期保障</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spacing w:before="60" w:line="288" w:lineRule="atLeast"/>
              <w:jc w:val="left"/>
              <w:rPr>
                <w:rFonts w:hint="eastAsia" w:ascii="Helvetica" w:hAnsi="Helvetica" w:cs="Helvetica"/>
                <w:sz w:val="16"/>
                <w:szCs w:val="16"/>
              </w:rPr>
            </w:pPr>
            <w:r>
              <w:rPr>
                <w:rFonts w:hint="eastAsia" w:ascii="宋体" w:hAnsi="宋体" w:eastAsia="宋体" w:cs="宋体"/>
                <w:color w:val="000000"/>
                <w:kern w:val="0"/>
                <w:sz w:val="20"/>
                <w:szCs w:val="20"/>
              </w:rPr>
              <w:t>指标1：</w:t>
            </w:r>
            <w:r>
              <w:rPr>
                <w:rFonts w:ascii="宋体" w:hAnsi="宋体" w:eastAsia="宋体" w:cs="宋体"/>
                <w:color w:val="000000"/>
                <w:kern w:val="0"/>
                <w:sz w:val="20"/>
                <w:szCs w:val="20"/>
              </w:rPr>
              <w:t>被评价单位满意度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100</w:t>
            </w:r>
          </w:p>
        </w:tc>
      </w:tr>
    </w:tbl>
    <w:p>
      <w:pPr>
        <w:ind w:firstLine="420" w:firstLineChars="200"/>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kern w:val="0"/>
          <w:sz w:val="32"/>
          <w:szCs w:val="32"/>
        </w:rPr>
        <w:t>淮北市财政局（国资委）</w:t>
      </w:r>
      <w:r>
        <w:rPr>
          <w:rFonts w:hint="eastAsia" w:ascii="仿宋_GB2312" w:hAnsi="仿宋" w:eastAsia="仿宋_GB2312"/>
          <w:sz w:val="32"/>
          <w:szCs w:val="32"/>
        </w:rPr>
        <w:t>2023</w:t>
      </w:r>
      <w:r>
        <w:rPr>
          <w:rFonts w:hint="eastAsia" w:ascii="TimesNewRoman" w:hAnsi="TimesNewRoman" w:eastAsia="仿宋_GB2312" w:cs="TimesNewRoman"/>
          <w:kern w:val="0"/>
          <w:sz w:val="32"/>
          <w:szCs w:val="32"/>
        </w:rPr>
        <w:t>年机关运行经费财政拨款预算</w:t>
      </w:r>
      <w:r>
        <w:rPr>
          <w:rFonts w:hint="eastAsia" w:ascii="仿宋_GB2312" w:hAnsi="仿宋" w:eastAsia="仿宋_GB2312"/>
          <w:sz w:val="32"/>
          <w:szCs w:val="32"/>
        </w:rPr>
        <w:t>165.6</w:t>
      </w:r>
      <w:r>
        <w:rPr>
          <w:rFonts w:hint="eastAsia" w:ascii="TimesNewRoman" w:hAnsi="TimesNewRoman" w:eastAsia="仿宋_GB2312" w:cs="TimesNewRoman"/>
          <w:kern w:val="0"/>
          <w:sz w:val="32"/>
          <w:szCs w:val="32"/>
        </w:rPr>
        <w:t>万元，</w:t>
      </w:r>
      <w:r>
        <w:rPr>
          <w:rFonts w:hint="eastAsia" w:ascii="仿宋_GB2312" w:hAnsi="仿宋" w:eastAsia="仿宋_GB2312"/>
          <w:sz w:val="32"/>
          <w:szCs w:val="32"/>
        </w:rPr>
        <w:t>比2022年预算减少5.5万元，下降3.21%，原因主要是在职人员减少。</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淮北市财政局（国资委）2023年政府采购预算160.92万元。其中：政府采购货物预算8.36万元，政府采购工程预算0万元，政府采购服务预算152.56万元。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截至2022年12月31日，淮北市财政局（国资委）共有车辆0辆。单价50万元以上的通用设备2台（套），单价100万元以上的专用设备0台。</w:t>
      </w:r>
    </w:p>
    <w:p>
      <w:pPr>
        <w:ind w:firstLine="640" w:firstLineChars="200"/>
        <w:rPr>
          <w:rFonts w:ascii="仿宋_GB2312" w:hAnsi="仿宋" w:eastAsia="仿宋_GB2312"/>
          <w:sz w:val="32"/>
          <w:szCs w:val="32"/>
        </w:rPr>
      </w:pPr>
      <w:r>
        <w:rPr>
          <w:rFonts w:hint="eastAsia" w:ascii="仿宋_GB2312" w:hAnsi="仿宋" w:eastAsia="仿宋_GB2312"/>
          <w:sz w:val="32"/>
          <w:szCs w:val="32"/>
        </w:rPr>
        <w:t>2023年淮北市财政局（国资委）预算安排购置公务用车0辆，购置费0万元；安排购置单价50万元以上的通用设备0台（套），购置费0万元；安排购置单价100万元以上专用设备0台（套），购置费0万元。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widowControl/>
        <w:spacing w:line="288" w:lineRule="atLeast"/>
        <w:ind w:firstLine="640" w:firstLineChars="200"/>
        <w:jc w:val="left"/>
        <w:rPr>
          <w:rFonts w:ascii="TimesNewRoman" w:hAnsi="TimesNewRoman" w:eastAsia="黑体" w:cs="TimesNewRoman"/>
          <w:bCs/>
          <w:sz w:val="36"/>
          <w:szCs w:val="36"/>
        </w:rPr>
      </w:pPr>
      <w:r>
        <w:rPr>
          <w:rFonts w:hint="eastAsia" w:ascii="仿宋_GB2312" w:hAnsi="仿宋" w:eastAsia="仿宋_GB2312"/>
          <w:sz w:val="32"/>
          <w:szCs w:val="32"/>
        </w:rPr>
        <w:t>2023年，淮北市财政局（国资委）13个项目实行了绩效目标管理，涉及一般公共预算当年财政拨款959万元、政府性基金预算当年财政拨款0万元、财政专户管理资金当年安排0万元。</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imesNewRoman">
    <w:altName w:val="Segoe Print"/>
    <w:panose1 w:val="00000000000000000000"/>
    <w:charset w:val="00"/>
    <w:family w:val="auto"/>
    <w:pitch w:val="default"/>
    <w:sig w:usb0="00000000" w:usb1="00000000" w:usb2="00000029" w:usb3="00000000" w:csb0="6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826FF"/>
    <w:multiLevelType w:val="singleLevel"/>
    <w:tmpl w:val="7C7826F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g3NWViODI4MTVlYjRlNjE1ZDg5OWE1ZmNiYzAifQ=="/>
  </w:docVars>
  <w:rsids>
    <w:rsidRoot w:val="00E907C4"/>
    <w:rsid w:val="00040FA4"/>
    <w:rsid w:val="002A2E94"/>
    <w:rsid w:val="003A794E"/>
    <w:rsid w:val="004263F2"/>
    <w:rsid w:val="00436A12"/>
    <w:rsid w:val="00490DD7"/>
    <w:rsid w:val="00536B58"/>
    <w:rsid w:val="00563943"/>
    <w:rsid w:val="0057562B"/>
    <w:rsid w:val="00646D99"/>
    <w:rsid w:val="006546AF"/>
    <w:rsid w:val="00770440"/>
    <w:rsid w:val="008F6D1A"/>
    <w:rsid w:val="009A3CA3"/>
    <w:rsid w:val="009C2C90"/>
    <w:rsid w:val="00A474D2"/>
    <w:rsid w:val="00A6395E"/>
    <w:rsid w:val="00AE3242"/>
    <w:rsid w:val="00AE594E"/>
    <w:rsid w:val="00DC5759"/>
    <w:rsid w:val="00DF3935"/>
    <w:rsid w:val="00E34C40"/>
    <w:rsid w:val="00E64E94"/>
    <w:rsid w:val="00E907C4"/>
    <w:rsid w:val="00EC7755"/>
    <w:rsid w:val="00F21805"/>
    <w:rsid w:val="00F72C14"/>
    <w:rsid w:val="00FA41AA"/>
    <w:rsid w:val="01873445"/>
    <w:rsid w:val="02993B5E"/>
    <w:rsid w:val="03F10FC4"/>
    <w:rsid w:val="053265CF"/>
    <w:rsid w:val="0849765A"/>
    <w:rsid w:val="08F256AF"/>
    <w:rsid w:val="096A1CDD"/>
    <w:rsid w:val="0E865BA6"/>
    <w:rsid w:val="10D75BFD"/>
    <w:rsid w:val="112F63D6"/>
    <w:rsid w:val="113B0F83"/>
    <w:rsid w:val="11C25861"/>
    <w:rsid w:val="16995BC3"/>
    <w:rsid w:val="1A086B50"/>
    <w:rsid w:val="1B910B6A"/>
    <w:rsid w:val="1D873CF6"/>
    <w:rsid w:val="1EE34135"/>
    <w:rsid w:val="24551505"/>
    <w:rsid w:val="268F189A"/>
    <w:rsid w:val="26D031A9"/>
    <w:rsid w:val="2B165B09"/>
    <w:rsid w:val="2B180A7C"/>
    <w:rsid w:val="2C33143A"/>
    <w:rsid w:val="307A2991"/>
    <w:rsid w:val="34CE7A66"/>
    <w:rsid w:val="358B2A69"/>
    <w:rsid w:val="35B71643"/>
    <w:rsid w:val="362E78FF"/>
    <w:rsid w:val="366052C3"/>
    <w:rsid w:val="3A153E72"/>
    <w:rsid w:val="3AFF3CC1"/>
    <w:rsid w:val="3F3626EE"/>
    <w:rsid w:val="3FF91918"/>
    <w:rsid w:val="406B5D5B"/>
    <w:rsid w:val="41E63A81"/>
    <w:rsid w:val="42BC0D14"/>
    <w:rsid w:val="42C81C77"/>
    <w:rsid w:val="43570EDA"/>
    <w:rsid w:val="44C32131"/>
    <w:rsid w:val="4850386B"/>
    <w:rsid w:val="4A3E2113"/>
    <w:rsid w:val="4AC87CFD"/>
    <w:rsid w:val="4AE318E0"/>
    <w:rsid w:val="4D86669A"/>
    <w:rsid w:val="56FA6853"/>
    <w:rsid w:val="5A4F3114"/>
    <w:rsid w:val="5B652300"/>
    <w:rsid w:val="5C4E3D8F"/>
    <w:rsid w:val="5CD22BC9"/>
    <w:rsid w:val="5FE20E7E"/>
    <w:rsid w:val="6014367B"/>
    <w:rsid w:val="647909A6"/>
    <w:rsid w:val="658A10CA"/>
    <w:rsid w:val="65C81D94"/>
    <w:rsid w:val="66E64868"/>
    <w:rsid w:val="6808484C"/>
    <w:rsid w:val="68625027"/>
    <w:rsid w:val="69193DB6"/>
    <w:rsid w:val="69BF4439"/>
    <w:rsid w:val="6C711066"/>
    <w:rsid w:val="6F36563B"/>
    <w:rsid w:val="6FB9011C"/>
    <w:rsid w:val="704B1955"/>
    <w:rsid w:val="70571BD4"/>
    <w:rsid w:val="71D828AF"/>
    <w:rsid w:val="73133612"/>
    <w:rsid w:val="758E4B7C"/>
    <w:rsid w:val="76BC01B2"/>
    <w:rsid w:val="77300173"/>
    <w:rsid w:val="79B809BC"/>
    <w:rsid w:val="7A6C5DF1"/>
    <w:rsid w:val="7AEB3706"/>
    <w:rsid w:val="7B8A29A4"/>
    <w:rsid w:val="7BC933DB"/>
    <w:rsid w:val="7BE3752B"/>
    <w:rsid w:val="7CCB7ABE"/>
    <w:rsid w:val="7D224444"/>
    <w:rsid w:val="7F3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rbtn"/>
    <w:basedOn w:val="8"/>
    <w:qFormat/>
    <w:uiPriority w:val="0"/>
    <w:rPr>
      <w:color w:val="469DEA"/>
      <w:bdr w:val="single" w:color="E5E5E5" w:sz="4" w:space="0"/>
    </w:rPr>
  </w:style>
  <w:style w:type="character" w:customStyle="1" w:styleId="10">
    <w:name w:val="rbtn1"/>
    <w:basedOn w:val="8"/>
    <w:qFormat/>
    <w:uiPriority w:val="0"/>
    <w:rPr>
      <w:color w:val="469DEA"/>
      <w:bdr w:val="single" w:color="E5E5E5" w:sz="4" w:space="0"/>
    </w:rPr>
  </w:style>
  <w:style w:type="character" w:customStyle="1" w:styleId="11">
    <w:name w:val="layui-laypage-curr"/>
    <w:basedOn w:val="8"/>
    <w:qFormat/>
    <w:uiPriority w:val="0"/>
  </w:style>
  <w:style w:type="character" w:customStyle="1" w:styleId="12">
    <w:name w:val="active"/>
    <w:basedOn w:val="8"/>
    <w:qFormat/>
    <w:uiPriority w:val="0"/>
    <w:rPr>
      <w:color w:val="00FF00"/>
      <w:shd w:val="clear" w:color="auto" w:fill="000000"/>
    </w:rPr>
  </w:style>
  <w:style w:type="character" w:customStyle="1" w:styleId="13">
    <w:name w:val="hilite6"/>
    <w:basedOn w:val="8"/>
    <w:qFormat/>
    <w:uiPriority w:val="0"/>
    <w:rPr>
      <w:color w:val="FFFFFF"/>
      <w:shd w:val="clear" w:color="auto" w:fill="666677"/>
    </w:rPr>
  </w:style>
  <w:style w:type="character" w:customStyle="1" w:styleId="14">
    <w:name w:val="first-child"/>
    <w:basedOn w:val="8"/>
    <w:qFormat/>
    <w:uiPriority w:val="0"/>
  </w:style>
  <w:style w:type="character" w:customStyle="1" w:styleId="15">
    <w:name w:val="layui-this2"/>
    <w:basedOn w:val="8"/>
    <w:qFormat/>
    <w:uiPriority w:val="0"/>
    <w:rPr>
      <w:bdr w:val="single" w:color="EEEEEE" w:sz="4" w:space="0"/>
      <w:shd w:val="clear" w:color="auto" w:fill="FFFFFF"/>
    </w:rPr>
  </w:style>
  <w:style w:type="character" w:customStyle="1" w:styleId="16">
    <w:name w:val="active7"/>
    <w:basedOn w:val="8"/>
    <w:qFormat/>
    <w:uiPriority w:val="0"/>
    <w:rPr>
      <w:color w:val="00FF00"/>
      <w:shd w:val="clear" w:color="auto" w:fill="000000"/>
    </w:rPr>
  </w:style>
  <w:style w:type="character" w:customStyle="1" w:styleId="17">
    <w:name w:val="layui-this"/>
    <w:basedOn w:val="8"/>
    <w:qFormat/>
    <w:uiPriority w:val="0"/>
    <w:rPr>
      <w:bdr w:val="single" w:color="EEEEEE" w:sz="4" w:space="0"/>
      <w:shd w:val="clear" w:color="auto" w:fill="FFFFFF"/>
    </w:rPr>
  </w:style>
  <w:style w:type="character" w:customStyle="1" w:styleId="18">
    <w:name w:val="hilite5"/>
    <w:basedOn w:val="8"/>
    <w:qFormat/>
    <w:uiPriority w:val="0"/>
    <w:rPr>
      <w:color w:val="FFFFFF"/>
      <w:shd w:val="clear" w:color="auto" w:fill="666677"/>
    </w:rPr>
  </w:style>
  <w:style w:type="character" w:customStyle="1" w:styleId="19">
    <w:name w:val="active6"/>
    <w:basedOn w:val="8"/>
    <w:qFormat/>
    <w:uiPriority w:val="0"/>
    <w:rPr>
      <w:color w:val="00FF00"/>
      <w:shd w:val="clear" w:color="auto" w:fill="000000"/>
    </w:rPr>
  </w:style>
  <w:style w:type="character" w:customStyle="1" w:styleId="20">
    <w:name w:val="hilite"/>
    <w:basedOn w:val="8"/>
    <w:qFormat/>
    <w:uiPriority w:val="0"/>
    <w:rPr>
      <w:color w:val="FFFFFF"/>
      <w:shd w:val="clear" w:color="auto" w:fill="666677"/>
    </w:rPr>
  </w:style>
  <w:style w:type="character" w:customStyle="1" w:styleId="21">
    <w:name w:val="active4"/>
    <w:basedOn w:val="8"/>
    <w:qFormat/>
    <w:uiPriority w:val="0"/>
    <w:rPr>
      <w:color w:val="00FF00"/>
      <w:shd w:val="clear" w:color="auto" w:fill="000000"/>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1398</Words>
  <Characters>7969</Characters>
  <Lines>66</Lines>
  <Paragraphs>18</Paragraphs>
  <TotalTime>8</TotalTime>
  <ScaleCrop>false</ScaleCrop>
  <LinksUpToDate>false</LinksUpToDate>
  <CharactersWithSpaces>9349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2023-02-13T09:47:00Z</dcterms:created>
  <dc:creator>lenovo</dc:creator>
  <cp:lastModifiedBy>淮北市财政局本级</cp:lastModifiedBy>
  <dcterms:modified xsi:type="dcterms:W3CDTF">2023-02-15T02:41:56Z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308E84E773014085A716BA03A6DC2372</vt:lpwstr>
  </property>
</Properties>
</file>