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lang w:eastAsia="zh-CN"/>
        </w:rPr>
        <w:t>淮北市</w:t>
      </w:r>
      <w:r>
        <w:rPr>
          <w:rFonts w:hint="eastAsia" w:ascii="方正小标宋简体" w:hAnsi="宋体" w:eastAsia="方正小标宋简体" w:cs="Times New Roman"/>
          <w:b/>
          <w:kern w:val="0"/>
          <w:sz w:val="44"/>
          <w:szCs w:val="44"/>
        </w:rPr>
        <w:t>政府专项债券项目资金绩效管理</w:t>
      </w:r>
    </w:p>
    <w:p>
      <w:pPr>
        <w:adjustRightInd w:val="0"/>
        <w:snapToGrid w:val="0"/>
        <w:spacing w:line="600" w:lineRule="exact"/>
        <w:jc w:val="center"/>
        <w:rPr>
          <w:rFonts w:hint="eastAsia" w:ascii="方正小标宋简体" w:hAnsi="宋体" w:eastAsia="方正小标宋简体" w:cs="Times New Roman"/>
          <w:b/>
          <w:kern w:val="0"/>
          <w:sz w:val="44"/>
          <w:szCs w:val="44"/>
          <w:lang w:eastAsia="zh-CN"/>
        </w:rPr>
      </w:pPr>
      <w:r>
        <w:rPr>
          <w:rFonts w:hint="eastAsia" w:ascii="方正小标宋简体" w:hAnsi="宋体" w:eastAsia="方正小标宋简体" w:cs="Times New Roman"/>
          <w:b/>
          <w:kern w:val="0"/>
          <w:sz w:val="44"/>
          <w:szCs w:val="44"/>
          <w:lang w:eastAsia="zh-CN"/>
        </w:rPr>
        <w:t>实施细则（试行）</w:t>
      </w:r>
      <w:bookmarkStart w:id="4" w:name="_GoBack"/>
      <w:bookmarkEnd w:id="4"/>
    </w:p>
    <w:p>
      <w:pPr>
        <w:spacing w:line="560" w:lineRule="exact"/>
        <w:jc w:val="center"/>
        <w:rPr>
          <w:rFonts w:hint="eastAsia" w:asciiTheme="majorEastAsia" w:hAnsiTheme="majorEastAsia" w:eastAsiaTheme="majorEastAsia" w:cstheme="majorEastAsia"/>
          <w:b/>
          <w:bCs/>
          <w:sz w:val="36"/>
          <w:szCs w:val="36"/>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 xml:space="preserve">第一条 </w:t>
      </w:r>
      <w:r>
        <w:rPr>
          <w:rFonts w:hint="eastAsia" w:ascii="仿宋_GB2312" w:hAnsi="仿宋_GB2312" w:eastAsia="仿宋_GB2312" w:cs="仿宋_GB2312"/>
          <w:sz w:val="32"/>
          <w:szCs w:val="32"/>
          <w:highlight w:val="none"/>
        </w:rPr>
        <w:t>为加强我</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政府专项债券项目资金绩效管理，提高专项债券资金使用效益，有效防范政府债务风险，根据预算法</w:t>
      </w:r>
      <w:r>
        <w:rPr>
          <w:rFonts w:hint="eastAsia" w:ascii="仿宋_GB2312" w:hAnsi="仿宋_GB2312" w:eastAsia="仿宋_GB2312" w:cs="仿宋_GB2312"/>
          <w:sz w:val="32"/>
          <w:szCs w:val="32"/>
          <w:highlight w:val="none"/>
          <w:lang w:eastAsia="zh-CN"/>
        </w:rPr>
        <w:t>、财政部</w:t>
      </w:r>
      <w:r>
        <w:rPr>
          <w:rFonts w:hint="eastAsia" w:ascii="仿宋_GB2312" w:hAnsi="仿宋_GB2312" w:eastAsia="仿宋_GB2312" w:cs="仿宋_GB2312"/>
          <w:sz w:val="32"/>
          <w:szCs w:val="32"/>
          <w:highlight w:val="none"/>
        </w:rPr>
        <w:t>《地方政府专项债券项目资金绩效管理办法》</w:t>
      </w:r>
      <w:r>
        <w:rPr>
          <w:rFonts w:hint="eastAsia" w:ascii="仿宋_GB2312" w:hAnsi="仿宋_GB2312" w:eastAsia="仿宋_GB2312" w:cs="仿宋_GB2312"/>
          <w:sz w:val="32"/>
          <w:szCs w:val="32"/>
          <w:highlight w:val="none"/>
          <w:lang w:eastAsia="zh-CN"/>
        </w:rPr>
        <w:t>和《安徽省政府</w:t>
      </w:r>
      <w:r>
        <w:rPr>
          <w:rFonts w:hint="eastAsia" w:ascii="仿宋_GB2312" w:hAnsi="仿宋_GB2312" w:eastAsia="仿宋_GB2312" w:cs="仿宋_GB2312"/>
          <w:sz w:val="32"/>
          <w:szCs w:val="32"/>
          <w:highlight w:val="none"/>
        </w:rPr>
        <w:t>专项债券项目资金绩效管理办法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等法律法规及有关规定，结合我</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实际，制定本</w:t>
      </w:r>
      <w:r>
        <w:rPr>
          <w:rFonts w:hint="eastAsia" w:ascii="仿宋_GB2312" w:hAnsi="仿宋_GB2312" w:eastAsia="仿宋_GB2312" w:cs="仿宋_GB2312"/>
          <w:sz w:val="32"/>
          <w:szCs w:val="32"/>
          <w:highlight w:val="none"/>
          <w:lang w:eastAsia="zh-CN"/>
        </w:rPr>
        <w:t>实施细则</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第二条</w:t>
      </w:r>
      <w:r>
        <w:rPr>
          <w:rFonts w:hint="eastAsia" w:ascii="仿宋_GB2312" w:hAnsi="仿宋_GB2312" w:eastAsia="仿宋_GB2312" w:cs="仿宋_GB2312"/>
          <w:sz w:val="32"/>
          <w:szCs w:val="32"/>
          <w:highlight w:val="none"/>
        </w:rPr>
        <w:t xml:space="preserve"> 本</w:t>
      </w:r>
      <w:r>
        <w:rPr>
          <w:rFonts w:hint="eastAsia" w:ascii="仿宋_GB2312" w:hAnsi="仿宋_GB2312" w:eastAsia="仿宋_GB2312" w:cs="仿宋_GB2312"/>
          <w:sz w:val="32"/>
          <w:szCs w:val="32"/>
          <w:highlight w:val="none"/>
          <w:u w:val="single"/>
          <w:lang w:val="en-US" w:eastAsia="zh-CN"/>
        </w:rPr>
        <w:t>实施细则</w:t>
      </w:r>
      <w:r>
        <w:rPr>
          <w:rFonts w:hint="eastAsia" w:ascii="仿宋_GB2312" w:hAnsi="仿宋_GB2312" w:eastAsia="仿宋_GB2312" w:cs="仿宋_GB2312"/>
          <w:sz w:val="32"/>
          <w:szCs w:val="32"/>
          <w:highlight w:val="none"/>
        </w:rPr>
        <w:t>所称政府专项债券（以下简称专项债券）指安徽省政府为</w:t>
      </w:r>
      <w:r>
        <w:rPr>
          <w:rFonts w:hint="eastAsia" w:ascii="仿宋_GB2312" w:hAnsi="仿宋_GB2312" w:eastAsia="仿宋_GB2312" w:cs="仿宋_GB2312"/>
          <w:sz w:val="32"/>
          <w:szCs w:val="32"/>
          <w:highlight w:val="none"/>
          <w:lang w:eastAsia="zh-CN"/>
        </w:rPr>
        <w:t>我市</w:t>
      </w:r>
      <w:r>
        <w:rPr>
          <w:rFonts w:hint="eastAsia" w:ascii="仿宋_GB2312" w:hAnsi="仿宋_GB2312" w:eastAsia="仿宋_GB2312" w:cs="仿宋_GB2312"/>
          <w:sz w:val="32"/>
          <w:szCs w:val="32"/>
          <w:highlight w:val="none"/>
        </w:rPr>
        <w:t>有一定收益的公益性项目</w:t>
      </w:r>
      <w:r>
        <w:rPr>
          <w:rFonts w:hint="eastAsia" w:ascii="仿宋_GB2312" w:hAnsi="仿宋_GB2312" w:eastAsia="仿宋_GB2312" w:cs="仿宋_GB2312"/>
          <w:sz w:val="32"/>
          <w:szCs w:val="32"/>
          <w:highlight w:val="none"/>
          <w:lang w:eastAsia="zh-CN"/>
        </w:rPr>
        <w:t>代为</w:t>
      </w:r>
      <w:r>
        <w:rPr>
          <w:rFonts w:hint="eastAsia" w:ascii="仿宋_GB2312" w:hAnsi="仿宋_GB2312" w:eastAsia="仿宋_GB2312" w:cs="仿宋_GB2312"/>
          <w:sz w:val="32"/>
          <w:szCs w:val="32"/>
          <w:highlight w:val="none"/>
        </w:rPr>
        <w:t xml:space="preserve">发行的、以公益性项目对应的政府性基金收入或专项收入作为还本付息资金来源的政府债券，包括新增专项债券和再融资专项债券等。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highlight w:val="none"/>
        </w:rPr>
        <w:t>第三条</w:t>
      </w:r>
      <w:r>
        <w:rPr>
          <w:rFonts w:hint="eastAsia" w:ascii="仿宋_GB2312" w:hAnsi="仿宋_GB2312" w:eastAsia="仿宋_GB2312" w:cs="仿宋_GB2312"/>
          <w:sz w:val="32"/>
          <w:szCs w:val="32"/>
          <w:highlight w:val="none"/>
        </w:rPr>
        <w:t xml:space="preserve"> 本</w:t>
      </w:r>
      <w:r>
        <w:rPr>
          <w:rFonts w:hint="eastAsia" w:ascii="仿宋_GB2312" w:hAnsi="仿宋_GB2312" w:eastAsia="仿宋_GB2312" w:cs="仿宋_GB2312"/>
          <w:sz w:val="32"/>
          <w:szCs w:val="32"/>
          <w:highlight w:val="none"/>
          <w:u w:val="single"/>
          <w:lang w:val="en-US" w:eastAsia="zh-CN"/>
        </w:rPr>
        <w:t>实施细则</w:t>
      </w:r>
      <w:r>
        <w:rPr>
          <w:rFonts w:hint="eastAsia" w:ascii="仿宋_GB2312" w:hAnsi="仿宋_GB2312" w:eastAsia="仿宋_GB2312" w:cs="仿宋_GB2312"/>
          <w:sz w:val="32"/>
          <w:szCs w:val="32"/>
          <w:highlight w:val="none"/>
        </w:rPr>
        <w:t>所称绩效管理，是指财政部门、项目主管部门和项目单位以专项债券支持项目为对象，</w:t>
      </w:r>
      <w:bookmarkStart w:id="0" w:name="OLE_LINK1"/>
      <w:r>
        <w:rPr>
          <w:rFonts w:hint="eastAsia" w:ascii="仿宋_GB2312" w:hAnsi="仿宋_GB2312" w:eastAsia="仿宋_GB2312" w:cs="仿宋_GB2312"/>
          <w:sz w:val="32"/>
          <w:szCs w:val="32"/>
          <w:highlight w:val="none"/>
        </w:rPr>
        <w:t>通过事前绩效评估、绩效目标管理、绩效运行监控、绩效评价管理、评价结果应用等环节，推动提升债券资金配置效率和使用效益</w:t>
      </w:r>
      <w:bookmarkEnd w:id="0"/>
      <w:r>
        <w:rPr>
          <w:rFonts w:hint="eastAsia" w:ascii="仿宋_GB2312" w:hAnsi="仿宋_GB2312" w:eastAsia="仿宋_GB2312" w:cs="仿宋_GB2312"/>
          <w:sz w:val="32"/>
          <w:szCs w:val="32"/>
          <w:highlight w:val="none"/>
        </w:rPr>
        <w:t>的过</w:t>
      </w:r>
      <w:r>
        <w:rPr>
          <w:rFonts w:hint="eastAsia" w:ascii="仿宋_GB2312" w:hAnsi="仿宋_GB2312" w:eastAsia="仿宋_GB2312" w:cs="仿宋_GB2312"/>
          <w:sz w:val="32"/>
          <w:szCs w:val="32"/>
        </w:rPr>
        <w:t xml:space="preserve">程。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第四条</w:t>
      </w:r>
      <w:r>
        <w:rPr>
          <w:rFonts w:hint="eastAsia" w:ascii="仿宋_GB2312" w:hAnsi="仿宋_GB2312" w:eastAsia="仿宋_GB2312" w:cs="仿宋_GB2312"/>
          <w:sz w:val="32"/>
          <w:szCs w:val="32"/>
        </w:rPr>
        <w:t xml:space="preserve"> 绩效管理应当遵循以下原则：</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（一）科学规范。</w:t>
      </w:r>
      <w:r>
        <w:rPr>
          <w:rFonts w:hint="eastAsia" w:ascii="仿宋_GB2312" w:hAnsi="仿宋_GB2312" w:eastAsia="仿宋_GB2312" w:cs="仿宋_GB2312"/>
          <w:sz w:val="32"/>
          <w:szCs w:val="32"/>
        </w:rPr>
        <w:t>专项债券项目资金绩效实行全生命周期管理。坚持“举债必问效、无效必问责”，遵循项目支出绩效管理的基本要求，注重</w:t>
      </w:r>
      <w:r>
        <w:rPr>
          <w:rFonts w:hint="eastAsia" w:ascii="仿宋_GB2312" w:hAnsi="仿宋_GB2312" w:eastAsia="仿宋_GB2312" w:cs="仿宋_GB2312"/>
          <w:sz w:val="32"/>
          <w:szCs w:val="32"/>
          <w:lang w:val="en-US" w:eastAsia="zh-CN"/>
        </w:rPr>
        <w:t>融资</w:t>
      </w:r>
      <w:r>
        <w:rPr>
          <w:rFonts w:hint="eastAsia" w:ascii="仿宋_GB2312" w:hAnsi="仿宋_GB2312" w:eastAsia="仿宋_GB2312" w:cs="仿宋_GB2312"/>
          <w:sz w:val="32"/>
          <w:szCs w:val="32"/>
        </w:rPr>
        <w:t>收益平衡与偿债风险。建立规范的工作流程和指标体系，推动绩效管理工作有序开展。</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（二）协同配合。</w:t>
      </w:r>
      <w:r>
        <w:rPr>
          <w:rFonts w:hint="eastAsia" w:ascii="仿宋_GB2312" w:hAnsi="仿宋_GB2312" w:eastAsia="仿宋_GB2312" w:cs="仿宋_GB2312"/>
          <w:sz w:val="32"/>
          <w:szCs w:val="32"/>
        </w:rPr>
        <w:t>财政部门牵头组织专项债券项目资金绩效管理工作，项目主管部门和项目单位具体实施</w:t>
      </w:r>
      <w:r>
        <w:rPr>
          <w:rFonts w:hint="eastAsia" w:ascii="仿宋_GB2312" w:hAnsi="仿宋_GB2312" w:eastAsia="仿宋_GB2312" w:cs="仿宋_GB2312"/>
          <w:sz w:val="32"/>
          <w:szCs w:val="32"/>
          <w:lang w:eastAsia="zh-CN"/>
        </w:rPr>
        <w:t>项目绩效</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和评价</w:t>
      </w:r>
      <w:r>
        <w:rPr>
          <w:rFonts w:hint="eastAsia" w:ascii="仿宋_GB2312" w:hAnsi="仿宋_GB2312" w:eastAsia="仿宋_GB2312" w:cs="仿宋_GB2312"/>
          <w:sz w:val="32"/>
          <w:szCs w:val="32"/>
        </w:rPr>
        <w:t>工作。财政部门加强</w:t>
      </w:r>
      <w:r>
        <w:rPr>
          <w:rFonts w:hint="eastAsia" w:ascii="仿宋_GB2312" w:hAnsi="仿宋_GB2312" w:eastAsia="仿宋_GB2312" w:cs="仿宋_GB2312"/>
          <w:sz w:val="32"/>
          <w:szCs w:val="32"/>
          <w:lang w:eastAsia="zh-CN"/>
        </w:rPr>
        <w:t>政策宣传、工作指导和检查督查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（三）公开透明</w:t>
      </w:r>
      <w:r>
        <w:rPr>
          <w:rFonts w:hint="eastAsia" w:ascii="仿宋_GB2312" w:hAnsi="仿宋_GB2312" w:eastAsia="仿宋_GB2312" w:cs="仿宋_GB2312"/>
          <w:sz w:val="32"/>
          <w:szCs w:val="32"/>
        </w:rPr>
        <w:t>。绩效信息是专项债券项目信息的重要组成部分，应当依法依规公开，自觉接受社会监督，通过公开推动提高专项债券资金使用绩效。</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（四）强化运用。</w:t>
      </w:r>
      <w:r>
        <w:rPr>
          <w:rFonts w:hint="eastAsia" w:ascii="仿宋_GB2312" w:hAnsi="仿宋_GB2312" w:eastAsia="仿宋_GB2312" w:cs="仿宋_GB2312"/>
          <w:sz w:val="32"/>
          <w:szCs w:val="32"/>
        </w:rPr>
        <w:t>突出绩效管理结果的激励约束作用，将专项债券项目资金绩效管理结果作为专项债券额度分配的重要测算因素，并与有关管理措施和政策试点等挂钩。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xml:space="preserve">第五条 </w:t>
      </w:r>
      <w:r>
        <w:rPr>
          <w:rFonts w:hint="eastAsia" w:ascii="仿宋_GB2312" w:hAnsi="仿宋_GB2312" w:eastAsia="仿宋_GB2312" w:cs="仿宋_GB2312"/>
          <w:sz w:val="32"/>
          <w:szCs w:val="32"/>
        </w:rPr>
        <w:t xml:space="preserve">财政部门牵头组织本地区专项债券项目资金绩效管理工作，制定相关管理制度，对本级和下级有关工作进行指导和督查；对事前绩效评估结果进行审核，必要时组织第三方机构独立开展绩效评估；审定并批复项目单位绩效目标；跟踪绩效目标实现程度，并督促整改；对项目单位自评和主管部门绩效评价结果进行抽查复核，选择部分重点项目开展绩效评价；指导、督促项目单位和主管部门做好信息公开工作。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xml:space="preserve">第六条 </w:t>
      </w:r>
      <w:r>
        <w:rPr>
          <w:rFonts w:hint="eastAsia" w:ascii="仿宋_GB2312" w:hAnsi="仿宋_GB2312" w:eastAsia="仿宋_GB2312" w:cs="仿宋_GB2312"/>
          <w:sz w:val="32"/>
          <w:szCs w:val="32"/>
        </w:rPr>
        <w:t xml:space="preserve">主管部门承担本部门专项债券项目资金绩效管理工作，建立健全本部门相关管理制度和绩效评价指标体系；指导、督促项目单位做好事前绩效评估，指导、审核项目单位绩效目标设置，组织实施本部门绩效运行监控和绩效评价，指导项目单位绩效自评并审核自评结果，选择部分重点项目开展绩效评价，指导、督促项目单位整改纠错；开展本部门绩效评价结果应用与信息公开工作，汇总审核报送本部门绩效管理有关材料。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第七条</w:t>
      </w:r>
      <w:r>
        <w:rPr>
          <w:rFonts w:hint="eastAsia" w:ascii="仿宋_GB2312" w:hAnsi="仿宋_GB2312" w:eastAsia="仿宋_GB2312" w:cs="仿宋_GB2312"/>
          <w:sz w:val="32"/>
          <w:szCs w:val="32"/>
        </w:rPr>
        <w:t xml:space="preserve"> 项目单位承担本单位专项债券项目资金绩效管理各项具体工作，健全本单位相关管理制度；开展事前绩效评估、绩效目标设置、绩效运行监控、绩效自评、信息公开、整改纠错、材料报送等工作。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事前绩效评估</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eastAsia="zh-CN"/>
        </w:rPr>
        <w:t>八</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申请专项债券资金前，项目单位或项目主管部门要开展事前绩效评估，并将评估情况纳入专项债券项目实施方案，即“无绩效（事前绩效评估）不入库”。事前绩效评估主要判断项目申请专项债券资金支持的必要性和可行性，重点论证以下方面：</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（一）项目实施的必要性、公益性、收益性；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（二）项目建设投资合规性与项目成熟度；</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（三）项目资金来源和到位可行性；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（四）项目收入、成本、收益预测合理性；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（五）债券资金需求合理性；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（六）项目偿债计划可行性和偿债风险点；</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（七）绩效目标合理性；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（八）其他需要纳入事前绩效评估的事项。</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 事前绩效评估结果以事前绩效评估报告（见附件1）的形式反映。报告应当依据充分、内容真实、数据准确、分析透彻、逻辑清晰、评估客观、结论明确。</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第</w:t>
      </w:r>
      <w:r>
        <w:rPr>
          <w:rFonts w:hint="eastAsia" w:ascii="楷体" w:hAnsi="楷体" w:eastAsia="楷体" w:cs="楷体"/>
          <w:sz w:val="32"/>
          <w:szCs w:val="32"/>
          <w:highlight w:val="none"/>
          <w:lang w:eastAsia="zh-CN"/>
        </w:rPr>
        <w:t>十</w:t>
      </w:r>
      <w:r>
        <w:rPr>
          <w:rFonts w:hint="eastAsia" w:ascii="楷体" w:hAnsi="楷体" w:eastAsia="楷体" w:cs="楷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评估结果</w:t>
      </w:r>
      <w:r>
        <w:rPr>
          <w:rFonts w:hint="eastAsia" w:ascii="仿宋_GB2312" w:hAnsi="仿宋_GB2312" w:eastAsia="仿宋_GB2312" w:cs="仿宋_GB2312"/>
          <w:sz w:val="32"/>
          <w:szCs w:val="32"/>
          <w:highlight w:val="none"/>
        </w:rPr>
        <w:t>量化为百分制综合评分。</w:t>
      </w:r>
      <w:r>
        <w:rPr>
          <w:rFonts w:hint="eastAsia" w:ascii="仿宋_GB2312" w:hAnsi="仿宋_GB2312" w:eastAsia="仿宋_GB2312" w:cs="仿宋_GB2312"/>
          <w:sz w:val="32"/>
          <w:szCs w:val="32"/>
          <w:highlight w:val="none"/>
          <w:lang w:eastAsia="zh-CN"/>
        </w:rPr>
        <w:t>评估要点按不同内容划分，分别对应不同分值（见附件</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综合评分为 90 分（含）以上的项目，方可进入后续的申报流程（90 分以下的项目视为不具备申报条件）。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第十一条</w:t>
      </w:r>
      <w:r>
        <w:rPr>
          <w:rFonts w:hint="eastAsia" w:ascii="仿宋_GB2312" w:hAnsi="仿宋_GB2312" w:eastAsia="仿宋_GB2312" w:cs="仿宋_GB2312"/>
          <w:sz w:val="32"/>
          <w:szCs w:val="32"/>
        </w:rPr>
        <w:t xml:space="preserve"> 财政部门要强化对项目主管部门和项目单位事前绩效评估工作的指导。必要时财政部门可组织第三方机构独立开展绩效评估，并将评估结果作为是否获得专项债券资金支持的重要参考依据。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绩效目标管理</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第十二条</w:t>
      </w:r>
      <w:r>
        <w:rPr>
          <w:rFonts w:hint="eastAsia" w:ascii="仿宋_GB2312" w:hAnsi="仿宋_GB2312" w:eastAsia="仿宋_GB2312" w:cs="仿宋_GB2312"/>
          <w:sz w:val="32"/>
          <w:szCs w:val="32"/>
        </w:rPr>
        <w:t xml:space="preserve"> 绩效目标应当重点反映专项债券项目的产出数量、质量、时效、成本，以及经济效益、社会效益、生态效益、可持续影响、服务对象满意度等绩效指标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 2）</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sz w:val="32"/>
          <w:szCs w:val="32"/>
        </w:rPr>
        <w:t>第十三条</w:t>
      </w:r>
      <w:r>
        <w:rPr>
          <w:rFonts w:hint="eastAsia" w:ascii="仿宋_GB2312" w:hAnsi="仿宋_GB2312" w:eastAsia="仿宋_GB2312" w:cs="仿宋_GB2312"/>
          <w:sz w:val="32"/>
          <w:szCs w:val="32"/>
        </w:rPr>
        <w:t xml:space="preserve"> 项目单位在申请专项债券项目资金需求时，要同步设定绩效目标，经项目主管部门审核后，报同级财政部门审定</w:t>
      </w: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设定要参照成熟项目案例，进行充分论证、周密测算。要</w:t>
      </w:r>
      <w:r>
        <w:rPr>
          <w:rFonts w:hint="eastAsia" w:ascii="仿宋_GB2312" w:hAnsi="仿宋_GB2312" w:eastAsia="仿宋_GB2312" w:cs="仿宋_GB2312"/>
          <w:color w:val="auto"/>
          <w:sz w:val="32"/>
          <w:szCs w:val="32"/>
          <w:highlight w:val="none"/>
          <w:lang w:val="en-US" w:eastAsia="zh-CN"/>
        </w:rPr>
        <w:t>尽可能</w:t>
      </w:r>
      <w:r>
        <w:rPr>
          <w:rFonts w:hint="eastAsia" w:ascii="仿宋_GB2312" w:hAnsi="仿宋_GB2312" w:eastAsia="仿宋_GB2312" w:cs="仿宋_GB2312"/>
          <w:color w:val="auto"/>
          <w:sz w:val="32"/>
          <w:szCs w:val="32"/>
          <w:highlight w:val="none"/>
        </w:rPr>
        <w:t>细化量化</w:t>
      </w:r>
      <w:r>
        <w:rPr>
          <w:rFonts w:hint="eastAsia" w:ascii="仿宋_GB2312" w:hAnsi="仿宋_GB2312" w:eastAsia="仿宋_GB2312" w:cs="仿宋_GB2312"/>
          <w:color w:val="auto"/>
          <w:sz w:val="32"/>
          <w:szCs w:val="32"/>
          <w:highlight w:val="none"/>
          <w:lang w:eastAsia="zh-CN"/>
        </w:rPr>
        <w:t>绩效目标</w:t>
      </w:r>
      <w:r>
        <w:rPr>
          <w:rFonts w:hint="eastAsia" w:ascii="仿宋_GB2312" w:hAnsi="仿宋_GB2312" w:eastAsia="仿宋_GB2312" w:cs="仿宋_GB2312"/>
          <w:color w:val="auto"/>
          <w:sz w:val="32"/>
          <w:szCs w:val="32"/>
          <w:highlight w:val="none"/>
        </w:rPr>
        <w:t xml:space="preserve">，有效反映项目的预期产出、融资成本、偿债风险等。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第十四条</w:t>
      </w:r>
      <w:r>
        <w:rPr>
          <w:rFonts w:hint="eastAsia" w:ascii="仿宋_GB2312" w:hAnsi="仿宋_GB2312" w:eastAsia="仿宋_GB2312" w:cs="仿宋_GB2312"/>
          <w:sz w:val="32"/>
          <w:szCs w:val="32"/>
        </w:rPr>
        <w:t xml:space="preserve"> 财政部门要将绩效目标设置作为安排专项债券资金的前置条件，加强绩效目标审</w:t>
      </w:r>
      <w:r>
        <w:rPr>
          <w:rFonts w:hint="eastAsia" w:ascii="仿宋_GB2312" w:hAnsi="仿宋_GB2312" w:eastAsia="仿宋_GB2312" w:cs="仿宋_GB2312"/>
          <w:sz w:val="32"/>
          <w:szCs w:val="32"/>
          <w:highlight w:val="none"/>
        </w:rPr>
        <w:t>核，</w:t>
      </w:r>
      <w:r>
        <w:rPr>
          <w:rFonts w:hint="eastAsia" w:ascii="仿宋_GB2312" w:hAnsi="仿宋_GB2312" w:eastAsia="仿宋_GB2312" w:cs="仿宋_GB2312"/>
          <w:sz w:val="32"/>
          <w:szCs w:val="32"/>
          <w:highlight w:val="none"/>
          <w:lang w:eastAsia="zh-CN"/>
        </w:rPr>
        <w:t>重点审核绩效目标的明确性（是否细化量化为可衡量的绩效指标）、相关性（与实际工作内容是否相关、是否参照成熟项目案例）、匹配性（是否与项目投资额或资金量匹配）。</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rPr>
        <w:t xml:space="preserve">专项债券发行后，将审核后的绩效目标与专项债券资金同步批复至项目主管部门（无明确主管部门的，批复至项目单位）。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第十五条</w:t>
      </w:r>
      <w:r>
        <w:rPr>
          <w:rFonts w:hint="eastAsia" w:ascii="仿宋_GB2312" w:hAnsi="仿宋_GB2312" w:eastAsia="仿宋_GB2312" w:cs="仿宋_GB2312"/>
          <w:sz w:val="32"/>
          <w:szCs w:val="32"/>
        </w:rPr>
        <w:t xml:space="preserve"> 绩效目标原则上执行中不作调整。确因项目建设运营环境发生重大变化等原因需要调整的，按照新设项目的工作流程办理。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绩效运行监控</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第十六条</w:t>
      </w:r>
      <w:r>
        <w:rPr>
          <w:rFonts w:hint="eastAsia" w:ascii="仿宋_GB2312" w:hAnsi="仿宋_GB2312" w:eastAsia="仿宋_GB2312" w:cs="仿宋_GB2312"/>
          <w:sz w:val="32"/>
          <w:szCs w:val="32"/>
        </w:rPr>
        <w:t xml:space="preserve"> 绩效运行监控是指在专项债券资金使用过程中，对专项债券资金预算执行进度和绩效目标实现情况进行“双监控”，查找资金使用和项目实施中的薄弱环节，及时纠正偏差。</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第十七条</w:t>
      </w:r>
      <w:r>
        <w:rPr>
          <w:rFonts w:hint="eastAsia" w:ascii="仿宋_GB2312" w:hAnsi="仿宋_GB2312" w:eastAsia="仿宋_GB2312" w:cs="仿宋_GB2312"/>
          <w:sz w:val="32"/>
          <w:szCs w:val="32"/>
        </w:rPr>
        <w:t xml:space="preserve"> 项目主管部门和项目单位应当建立专项债券项目资金绩效跟踪监测机制，对绩效目标实现程度进行动态监控，</w:t>
      </w:r>
      <w:r>
        <w:rPr>
          <w:rFonts w:hint="eastAsia" w:ascii="仿宋_GB2312" w:hAnsi="仿宋_GB2312" w:eastAsia="仿宋_GB2312" w:cs="仿宋_GB2312"/>
          <w:sz w:val="32"/>
          <w:szCs w:val="32"/>
          <w:lang w:eastAsia="zh-CN"/>
        </w:rPr>
        <w:t>在建项目</w:t>
      </w:r>
      <w:r>
        <w:rPr>
          <w:rFonts w:hint="eastAsia" w:ascii="仿宋_GB2312" w:hAnsi="仿宋_GB2312" w:eastAsia="仿宋_GB2312" w:cs="仿宋_GB2312"/>
          <w:sz w:val="32"/>
          <w:szCs w:val="32"/>
          <w:highlight w:val="none"/>
          <w:lang w:eastAsia="zh-CN"/>
        </w:rPr>
        <w:t>按月报送专项</w:t>
      </w:r>
      <w:r>
        <w:rPr>
          <w:rFonts w:hint="eastAsia" w:ascii="仿宋_GB2312" w:hAnsi="仿宋_GB2312" w:eastAsia="仿宋_GB2312" w:cs="仿宋_GB2312"/>
          <w:sz w:val="32"/>
          <w:szCs w:val="32"/>
          <w:highlight w:val="none"/>
          <w:lang w:val="en-US" w:eastAsia="zh-CN"/>
        </w:rPr>
        <w:t>债券</w:t>
      </w:r>
      <w:r>
        <w:rPr>
          <w:rFonts w:hint="eastAsia" w:ascii="仿宋_GB2312" w:hAnsi="仿宋_GB2312" w:eastAsia="仿宋_GB2312" w:cs="仿宋_GB2312"/>
          <w:sz w:val="32"/>
          <w:szCs w:val="32"/>
          <w:highlight w:val="none"/>
          <w:lang w:eastAsia="zh-CN"/>
        </w:rPr>
        <w:t>资金预算执行进度，按季度报送建设项目建设进度情况（见附件</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）；运营期项目按半年报送专项</w:t>
      </w:r>
      <w:r>
        <w:rPr>
          <w:rFonts w:hint="eastAsia" w:ascii="仿宋_GB2312" w:hAnsi="仿宋_GB2312" w:eastAsia="仿宋_GB2312" w:cs="仿宋_GB2312"/>
          <w:sz w:val="32"/>
          <w:szCs w:val="32"/>
          <w:highlight w:val="none"/>
          <w:lang w:val="en-US" w:eastAsia="zh-CN"/>
        </w:rPr>
        <w:t>债券</w:t>
      </w:r>
      <w:r>
        <w:rPr>
          <w:rFonts w:hint="eastAsia" w:ascii="仿宋_GB2312" w:hAnsi="仿宋_GB2312" w:eastAsia="仿宋_GB2312" w:cs="仿宋_GB2312"/>
          <w:sz w:val="32"/>
          <w:szCs w:val="32"/>
          <w:highlight w:val="none"/>
          <w:lang w:eastAsia="zh-CN"/>
        </w:rPr>
        <w:t>项目运营情况（见附件</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 xml:space="preserve">发现问题及时纠正并告知同级财政部门，确保绩效目标如期实现。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第十八条</w:t>
      </w:r>
      <w:r>
        <w:rPr>
          <w:rFonts w:hint="eastAsia" w:ascii="仿宋_GB2312" w:hAnsi="仿宋_GB2312" w:eastAsia="仿宋_GB2312" w:cs="仿宋_GB2312"/>
          <w:sz w:val="32"/>
          <w:szCs w:val="32"/>
        </w:rPr>
        <w:t xml:space="preserve"> 财政部门应当跟踪专项债券项目绩效目标实现程度，对严重偏离绩效目标的项目，要暂缓或停止拨款，督促及时整改。项目无法实施或存在严重问题的要及时追回专项债券资金</w:t>
      </w:r>
      <w:r>
        <w:rPr>
          <w:rFonts w:hint="eastAsia" w:ascii="仿宋_GB2312" w:hAnsi="仿宋_GB2312" w:eastAsia="仿宋_GB2312" w:cs="仿宋_GB2312"/>
          <w:sz w:val="32"/>
          <w:szCs w:val="32"/>
          <w:lang w:eastAsia="zh-CN"/>
        </w:rPr>
        <w:t>并按程序调整用途</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第十九条</w:t>
      </w:r>
      <w:r>
        <w:rPr>
          <w:rFonts w:hint="eastAsia" w:ascii="仿宋_GB2312" w:hAnsi="仿宋_GB2312" w:eastAsia="仿宋_GB2312" w:cs="仿宋_GB2312"/>
          <w:sz w:val="32"/>
          <w:szCs w:val="32"/>
        </w:rPr>
        <w:t xml:space="preserve"> 财政部门利用信息化手段探索对专项债券项目实行穿透式监管，根据工作需要组织对专项债券项目建设运营等情况开展现场检查，及时纠偏纠错。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绩效评价管理</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第二十条</w:t>
      </w:r>
      <w:r>
        <w:rPr>
          <w:rFonts w:hint="eastAsia" w:ascii="仿宋_GB2312" w:hAnsi="仿宋_GB2312" w:eastAsia="仿宋_GB2312" w:cs="仿宋_GB2312"/>
          <w:sz w:val="32"/>
          <w:szCs w:val="32"/>
        </w:rPr>
        <w:t xml:space="preserve"> 年度预算执行终了，项目单位要自主开展绩效自评，</w:t>
      </w:r>
      <w:r>
        <w:rPr>
          <w:rFonts w:hint="eastAsia" w:ascii="仿宋_GB2312" w:hAnsi="仿宋_GB2312" w:eastAsia="仿宋_GB2312" w:cs="仿宋_GB2312"/>
          <w:sz w:val="32"/>
          <w:szCs w:val="32"/>
          <w:highlight w:val="none"/>
        </w:rPr>
        <w:t>评价结果</w:t>
      </w:r>
      <w:r>
        <w:rPr>
          <w:rFonts w:hint="eastAsia" w:ascii="仿宋_GB2312" w:hAnsi="仿宋_GB2312" w:eastAsia="仿宋_GB2312" w:cs="仿宋_GB2312"/>
          <w:sz w:val="32"/>
          <w:szCs w:val="32"/>
          <w:highlight w:val="none"/>
          <w:lang w:eastAsia="zh-CN"/>
        </w:rPr>
        <w:t>在次年</w:t>
      </w:r>
      <w:r>
        <w:rPr>
          <w:rFonts w:hint="eastAsia" w:ascii="仿宋_GB2312" w:hAnsi="仿宋_GB2312" w:eastAsia="仿宋_GB2312" w:cs="仿宋_GB2312"/>
          <w:sz w:val="32"/>
          <w:szCs w:val="32"/>
          <w:highlight w:val="none"/>
          <w:lang w:val="en-US" w:eastAsia="zh-CN"/>
        </w:rPr>
        <w:t>3月底前</w:t>
      </w:r>
      <w:r>
        <w:rPr>
          <w:rFonts w:hint="eastAsia" w:ascii="仿宋_GB2312" w:hAnsi="仿宋_GB2312" w:eastAsia="仿宋_GB2312" w:cs="仿宋_GB2312"/>
          <w:sz w:val="32"/>
          <w:szCs w:val="32"/>
          <w:highlight w:val="none"/>
        </w:rPr>
        <w:t>报送主管部门和同级财政部门。</w:t>
      </w:r>
      <w:r>
        <w:rPr>
          <w:rFonts w:hint="eastAsia" w:ascii="仿宋_GB2312" w:hAnsi="仿宋_GB2312" w:eastAsia="仿宋_GB2312" w:cs="仿宋_GB2312"/>
          <w:sz w:val="32"/>
          <w:szCs w:val="32"/>
        </w:rPr>
        <w:t xml:space="preserve">项目主管部门和同级财政部门选择部分重点项目开展绩效评价。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eastAsia="zh-CN"/>
        </w:rPr>
        <w:t>一</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项目主管部门和财政部门绩效评价要反映项目决策、管理、产出和效益。绩效评价指标框架（见附件3）和绩效评价提纲（见附件4），包括但不限于以下内容：</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（一）决策方面。</w:t>
      </w:r>
      <w:r>
        <w:rPr>
          <w:rFonts w:hint="eastAsia" w:ascii="仿宋_GB2312" w:hAnsi="仿宋_GB2312" w:eastAsia="仿宋_GB2312" w:cs="仿宋_GB2312"/>
          <w:sz w:val="32"/>
          <w:szCs w:val="32"/>
        </w:rPr>
        <w:t>项目立项批复情况；项目完成勘察、设计、用地、环评、开工许可等前期工作情况；项目符合专项债券支持领域和方向情况；项目绩效目标设定情况；项目申请专项债券额度与实际需要匹配情况等。</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（二）管理方面。</w:t>
      </w:r>
      <w:r>
        <w:rPr>
          <w:rFonts w:hint="eastAsia" w:ascii="仿宋_GB2312" w:hAnsi="仿宋_GB2312" w:eastAsia="仿宋_GB2312" w:cs="仿宋_GB2312"/>
          <w:sz w:val="32"/>
          <w:szCs w:val="32"/>
        </w:rPr>
        <w:t>专项债券收支、还本付息及专项收入纳入政府性基金预算管理情况；债券资金按规定用途使用情况；资金支出进度情况；资金拨付和支出进度与项目建设进度匹配情况；项目竣工后资产备案和产权登记情况；专项债券本息偿还计划执行情况；项目收入、成本及预期收益的合理性；项目年度收支平衡或项目全生命周期预期收益与专项债券规模匹配情况；专项债券期限与项目期限匹配情况等；专项债券项目信息公开情况；外部监督发现问题整改情况；信息系统管理使用情况；其他财务、采购和管理情况。</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（三）产出方面。</w:t>
      </w:r>
      <w:r>
        <w:rPr>
          <w:rFonts w:hint="eastAsia" w:ascii="仿宋_GB2312" w:hAnsi="仿宋_GB2312" w:eastAsia="仿宋_GB2312" w:cs="仿宋_GB2312"/>
          <w:sz w:val="32"/>
          <w:szCs w:val="32"/>
        </w:rPr>
        <w:t>项目形成资产情况；项目建设质量达标情况；项目建设进度情况；项目建设成本情况；考虑闲置因素后债券资金实际成本情况；项目建成后提供公共产品和服务情况；项目运营成本情况等。</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（四）效益方面。</w:t>
      </w:r>
      <w:r>
        <w:rPr>
          <w:rFonts w:hint="eastAsia" w:ascii="仿宋_GB2312" w:hAnsi="仿宋_GB2312" w:eastAsia="仿宋_GB2312" w:cs="仿宋_GB2312"/>
          <w:sz w:val="32"/>
          <w:szCs w:val="32"/>
        </w:rPr>
        <w:t>项目综合效益实现情况；项目带动社会有效投资情况；项目支持国家和省重大区域发展战略情况；</w:t>
      </w:r>
      <w:r>
        <w:rPr>
          <w:rFonts w:hint="eastAsia" w:ascii="仿宋_GB2312" w:hAnsi="仿宋_GB2312" w:eastAsia="仿宋_GB2312" w:cs="仿宋_GB2312"/>
          <w:sz w:val="32"/>
          <w:szCs w:val="32"/>
          <w:lang w:eastAsia="zh-CN"/>
        </w:rPr>
        <w:t>项目支持补短板情况；</w:t>
      </w:r>
      <w:r>
        <w:rPr>
          <w:rFonts w:hint="eastAsia" w:ascii="仿宋_GB2312" w:hAnsi="仿宋_GB2312" w:eastAsia="仿宋_GB2312" w:cs="仿宋_GB2312"/>
          <w:sz w:val="32"/>
          <w:szCs w:val="32"/>
        </w:rPr>
        <w:t xml:space="preserve">项目直接服务对象满意程度等。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eastAsia="zh-CN"/>
        </w:rPr>
        <w:t>二</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专项债券项目建立全生命周期跟踪问效机制，项目建设期绩效评价侧重项目决策、管理和产出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运营期绩效评价侧重项目产出和效益等。 </w:t>
      </w:r>
    </w:p>
    <w:p>
      <w:pPr>
        <w:keepNext w:val="0"/>
        <w:keepLines w:val="0"/>
        <w:pageBreakBefore w:val="0"/>
        <w:widowControl w:val="0"/>
        <w:kinsoku/>
        <w:wordWrap/>
        <w:overflowPunct/>
        <w:topLinePunct w:val="0"/>
        <w:autoSpaceDE/>
        <w:autoSpaceDN/>
        <w:bidi w:val="0"/>
        <w:adjustRightInd/>
        <w:snapToGrid/>
        <w:spacing w:line="580" w:lineRule="exact"/>
        <w:ind w:left="10" w:leftChars="5" w:firstLine="617" w:firstLineChars="193"/>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eastAsia="zh-CN"/>
        </w:rPr>
        <w:t>三</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财政部门负责组织实施本地区绩效评价结果公开工作，指导项目主管部门和项目单位每年 6 月底前公开上年度专项债券项目资金绩效评价结果。绩效评价结果要在全国统一的地方政府债务信息公开平台上公开。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eastAsia="zh-CN"/>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评价结果应用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四</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绩效评价结果按百分制综合评分并分级。综合评分 90 分（含）以上的为“优”，80 分（含）至 90 分的为“良”，60 分（含）至 80 分的为“中”，60 分以下的为“差”。 </w:t>
      </w:r>
      <w:r>
        <w:rPr>
          <w:rFonts w:hint="eastAsia" w:ascii="仿宋_GB2312" w:hAnsi="仿宋_GB2312" w:eastAsia="仿宋_GB2312" w:cs="仿宋_GB2312"/>
          <w:sz w:val="32"/>
          <w:szCs w:val="32"/>
          <w:highlight w:val="none"/>
          <w:lang w:eastAsia="zh-CN"/>
        </w:rPr>
        <w:t>建设期项目和运营期项目绩效评价量化评分表见（附件</w:t>
      </w:r>
      <w:r>
        <w:rPr>
          <w:rFonts w:hint="eastAsia" w:ascii="仿宋_GB2312" w:hAnsi="仿宋_GB2312" w:eastAsia="仿宋_GB2312" w:cs="仿宋_GB2312"/>
          <w:sz w:val="32"/>
          <w:szCs w:val="32"/>
          <w:highlight w:val="none"/>
          <w:lang w:val="en-US" w:eastAsia="zh-CN"/>
        </w:rPr>
        <w:t>6和附件7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五</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项目主管部门和项目单位要根据绩效评价结果及时整改问题。</w:t>
      </w:r>
      <w:r>
        <w:rPr>
          <w:rFonts w:hint="eastAsia" w:ascii="仿宋_GB2312" w:hAnsi="仿宋_GB2312" w:eastAsia="仿宋_GB2312" w:cs="仿宋_GB2312"/>
          <w:sz w:val="32"/>
          <w:szCs w:val="32"/>
          <w:lang w:eastAsia="zh-CN"/>
        </w:rPr>
        <w:t>财政部门</w:t>
      </w:r>
      <w:r>
        <w:rPr>
          <w:rFonts w:hint="eastAsia" w:ascii="仿宋_GB2312" w:hAnsi="仿宋_GB2312" w:eastAsia="仿宋_GB2312" w:cs="仿宋_GB2312"/>
          <w:sz w:val="32"/>
          <w:szCs w:val="32"/>
        </w:rPr>
        <w:t xml:space="preserve">及时将重点绩效评价结果反馈项目主管部门和项目单位，并提出整改意见。项目主管部门和项目单位应根据评价结果和整改意见，提出明确整改措施，认真组织开展整改工作。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六</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市财政部门对下级财政部门绩效管理工作定期开展抽查，指导和督促提高绩效管理水平。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七</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按照评价与结果应用主体相统一的原则，</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 xml:space="preserve">在分配专项债务限额时，将抽查情况及开展的重点绩效评价结果等作为分配调整因素。财政部门将绩效评价结果作为项目建设期专项债券额度以及运营期财政补助资金分配的调整因素。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第二十</w:t>
      </w:r>
      <w:r>
        <w:rPr>
          <w:rFonts w:hint="eastAsia" w:ascii="楷体" w:hAnsi="楷体" w:eastAsia="楷体" w:cs="楷体"/>
          <w:sz w:val="32"/>
          <w:szCs w:val="32"/>
          <w:lang w:val="en-US" w:eastAsia="zh-CN"/>
        </w:rPr>
        <w:t>八</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财政部门、项目主管部门和项目单位及个人，违反专项债券项目资金绩效管理规定致使财政资金使用低效无效并造成重大损失的</w:t>
      </w:r>
      <w:r>
        <w:rPr>
          <w:rFonts w:hint="eastAsia" w:ascii="仿宋_GB2312" w:hAnsi="仿宋_GB2312" w:eastAsia="仿宋_GB2312" w:cs="仿宋_GB2312"/>
          <w:sz w:val="32"/>
          <w:szCs w:val="32"/>
          <w:lang w:eastAsia="zh-CN"/>
        </w:rPr>
        <w:t>，按照相关法律法规追责问责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第八章 附则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第</w:t>
      </w:r>
      <w:r>
        <w:rPr>
          <w:rFonts w:hint="eastAsia" w:ascii="楷体" w:hAnsi="楷体" w:eastAsia="楷体" w:cs="楷体"/>
          <w:sz w:val="32"/>
          <w:szCs w:val="32"/>
          <w:lang w:val="en-US" w:eastAsia="zh-CN"/>
        </w:rPr>
        <w:t>二十九</w:t>
      </w:r>
      <w:r>
        <w:rPr>
          <w:rFonts w:hint="eastAsia" w:ascii="楷体" w:hAnsi="楷体" w:eastAsia="楷体" w:cs="楷体"/>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自印发之日起施行。2022 年及以后年度新增专项债券到期后按规定发行的再融资专项债券参照本</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执行。</w:t>
      </w:r>
    </w:p>
    <w:p>
      <w:pPr>
        <w:pStyle w:val="4"/>
        <w:keepNext w:val="0"/>
        <w:keepLines w:val="0"/>
        <w:pageBreakBefore w:val="0"/>
        <w:widowControl w:val="0"/>
        <w:kinsoku/>
        <w:wordWrap/>
        <w:overflowPunct/>
        <w:topLinePunct w:val="0"/>
        <w:autoSpaceDE/>
        <w:autoSpaceDN/>
        <w:bidi w:val="0"/>
        <w:adjustRightInd/>
        <w:snapToGrid/>
        <w:spacing w:line="580" w:lineRule="exact"/>
        <w:ind w:left="1990" w:right="677" w:hanging="125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附件：1.地方政府专项债券项目事前绩效评估报告（参考提纲）</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0" w:after="0" w:line="580" w:lineRule="exact"/>
        <w:ind w:left="1680" w:leftChars="0" w:right="0"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2.地方政府专项债券资金项目支出绩效目标表（参考）</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0" w:after="0" w:line="580" w:lineRule="exact"/>
        <w:ind w:left="1680" w:leftChars="0" w:right="0"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3.地方政府专项债券项目支出绩效评价指标体系框架（参考）</w:t>
      </w:r>
    </w:p>
    <w:p>
      <w:pPr>
        <w:pStyle w:val="4"/>
        <w:keepNext w:val="0"/>
        <w:keepLines w:val="0"/>
        <w:pageBreakBefore w:val="0"/>
        <w:widowControl w:val="0"/>
        <w:kinsoku/>
        <w:wordWrap/>
        <w:overflowPunct/>
        <w:topLinePunct w:val="0"/>
        <w:autoSpaceDE/>
        <w:autoSpaceDN/>
        <w:bidi w:val="0"/>
        <w:adjustRightInd/>
        <w:snapToGrid/>
        <w:spacing w:line="580" w:lineRule="exact"/>
        <w:ind w:left="1959" w:leftChars="784" w:right="677" w:hanging="313" w:hangingChars="98"/>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4.地方政府专项债券资金项目支出绩效评价报告（参考提纲）</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left="1680" w:leftChars="0" w:right="994"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5.淮北市专项债入库事前评估审核量化表</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left="1680" w:leftChars="0" w:right="994"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6.绩效评价量化评分表（建设期评分表）</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left="1680" w:leftChars="0" w:right="994" w:right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7.绩效评价量化评分表（运营期评分表）</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left="1680" w:leftChars="0" w:right="994" w:right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建设项目建设进度表</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left="1680" w:leftChars="0" w:right="994" w:right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专项债项目运营收益和成本情况表</w:t>
      </w:r>
    </w:p>
    <w:p>
      <w:pPr>
        <w:pStyle w:val="9"/>
        <w:keepNext w:val="0"/>
        <w:keepLines w:val="0"/>
        <w:pageBreakBefore w:val="0"/>
        <w:widowControl w:val="0"/>
        <w:numPr>
          <w:ilvl w:val="0"/>
          <w:numId w:val="0"/>
        </w:numPr>
        <w:tabs>
          <w:tab w:val="left" w:pos="1916"/>
        </w:tabs>
        <w:kinsoku/>
        <w:wordWrap/>
        <w:overflowPunct/>
        <w:topLinePunct w:val="0"/>
        <w:autoSpaceDE/>
        <w:autoSpaceDN/>
        <w:bidi w:val="0"/>
        <w:adjustRightInd/>
        <w:snapToGrid/>
        <w:spacing w:before="159" w:after="0" w:line="580" w:lineRule="exact"/>
        <w:ind w:right="994" w:rightChars="0"/>
        <w:jc w:val="left"/>
        <w:textAlignment w:val="auto"/>
        <w:rPr>
          <w:rFonts w:hint="default" w:ascii="仿宋_GB2312" w:hAnsi="仿宋_GB2312" w:eastAsia="仿宋_GB2312" w:cs="仿宋_GB2312"/>
          <w:kern w:val="2"/>
          <w:sz w:val="32"/>
          <w:szCs w:val="32"/>
          <w:lang w:val="en-US" w:eastAsia="zh-CN" w:bidi="ar-SA"/>
        </w:rPr>
        <w:sectPr>
          <w:footerReference r:id="rId3" w:type="default"/>
          <w:pgSz w:w="11910" w:h="16840"/>
          <w:pgMar w:top="1580" w:right="1240" w:bottom="1400" w:left="1480" w:header="0" w:footer="1214" w:gutter="0"/>
          <w:cols w:space="720" w:num="1"/>
        </w:sectPr>
      </w:pPr>
      <w:r>
        <w:rPr>
          <w:rFonts w:hint="eastAsia" w:ascii="仿宋_GB2312" w:hAnsi="仿宋_GB2312" w:eastAsia="仿宋_GB2312" w:cs="仿宋_GB2312"/>
          <w:kern w:val="2"/>
          <w:sz w:val="32"/>
          <w:szCs w:val="32"/>
          <w:lang w:val="en-US" w:eastAsia="zh-CN" w:bidi="ar-SA"/>
        </w:rPr>
        <w:t xml:space="preserve">  </w:t>
      </w:r>
    </w:p>
    <w:p>
      <w:pPr>
        <w:pStyle w:val="4"/>
        <w:spacing w:before="54"/>
        <w:ind w:left="108"/>
        <w:rPr>
          <w:rFonts w:hint="eastAsia" w:ascii="黑体" w:eastAsia="黑体"/>
        </w:rPr>
      </w:pPr>
      <w:r>
        <w:rPr>
          <w:rFonts w:hint="eastAsia" w:ascii="黑体" w:eastAsia="黑体"/>
        </w:rPr>
        <w:t>附件 1</w:t>
      </w:r>
    </w:p>
    <w:p>
      <w:pPr>
        <w:pStyle w:val="4"/>
        <w:spacing w:before="9"/>
        <w:rPr>
          <w:rFonts w:ascii="黑体"/>
          <w:sz w:val="45"/>
        </w:rPr>
      </w:pPr>
    </w:p>
    <w:p>
      <w:pPr>
        <w:spacing w:before="0"/>
        <w:ind w:left="0" w:right="170" w:firstLine="0"/>
        <w:jc w:val="center"/>
        <w:rPr>
          <w:b/>
          <w:sz w:val="44"/>
        </w:rPr>
      </w:pPr>
      <w:r>
        <w:rPr>
          <w:b/>
          <w:sz w:val="44"/>
        </w:rPr>
        <w:t>地方政府专项债券项目事前绩效评估报告</w:t>
      </w:r>
    </w:p>
    <w:p>
      <w:pPr>
        <w:pStyle w:val="4"/>
        <w:spacing w:before="121"/>
        <w:ind w:right="170"/>
        <w:jc w:val="center"/>
      </w:pPr>
      <w:r>
        <w:t>（参考提纲）</w:t>
      </w:r>
    </w:p>
    <w:p>
      <w:pPr>
        <w:pStyle w:val="4"/>
      </w:pPr>
    </w:p>
    <w:p>
      <w:pPr>
        <w:pStyle w:val="4"/>
        <w:spacing w:before="250"/>
        <w:ind w:left="735"/>
        <w:rPr>
          <w:rFonts w:hint="eastAsia" w:ascii="黑体" w:eastAsia="黑体"/>
        </w:rPr>
      </w:pPr>
      <w:r>
        <w:rPr>
          <w:rFonts w:hint="eastAsia" w:ascii="黑体" w:eastAsia="黑体"/>
        </w:rPr>
        <w:t>一、项目基本情况</w:t>
      </w:r>
    </w:p>
    <w:p>
      <w:pPr>
        <w:pStyle w:val="3"/>
        <w:spacing w:before="53"/>
      </w:pPr>
      <w:r>
        <w:rPr>
          <w:spacing w:val="-5"/>
          <w:w w:val="95"/>
        </w:rPr>
        <w:t>（一）政策依据</w:t>
      </w:r>
    </w:p>
    <w:p>
      <w:pPr>
        <w:spacing w:before="0" w:line="569" w:lineRule="exact"/>
        <w:ind w:left="735" w:right="0" w:firstLine="0"/>
        <w:jc w:val="left"/>
        <w:rPr>
          <w:rFonts w:hint="eastAsia" w:ascii="Microsoft JhengHei" w:eastAsia="Microsoft JhengHei"/>
          <w:b/>
          <w:sz w:val="32"/>
        </w:rPr>
      </w:pPr>
      <w:r>
        <w:rPr>
          <w:rFonts w:hint="eastAsia" w:ascii="Microsoft JhengHei" w:eastAsia="Microsoft JhengHei"/>
          <w:b/>
          <w:spacing w:val="-5"/>
          <w:w w:val="95"/>
          <w:sz w:val="32"/>
        </w:rPr>
        <w:t>（二）项目背景</w:t>
      </w:r>
    </w:p>
    <w:p>
      <w:pPr>
        <w:spacing w:before="0" w:line="579" w:lineRule="exact"/>
        <w:ind w:left="735" w:right="0" w:firstLine="0"/>
        <w:jc w:val="left"/>
        <w:rPr>
          <w:rFonts w:hint="eastAsia" w:ascii="Microsoft JhengHei" w:eastAsia="Microsoft JhengHei"/>
          <w:b/>
          <w:sz w:val="32"/>
        </w:rPr>
      </w:pPr>
      <w:r>
        <w:rPr>
          <w:rFonts w:hint="eastAsia" w:ascii="Microsoft JhengHei" w:eastAsia="Microsoft JhengHei"/>
          <w:b/>
          <w:spacing w:val="-5"/>
          <w:w w:val="95"/>
          <w:sz w:val="32"/>
        </w:rPr>
        <w:t>（三）项目概况</w:t>
      </w:r>
    </w:p>
    <w:p>
      <w:pPr>
        <w:pStyle w:val="9"/>
        <w:numPr>
          <w:ilvl w:val="0"/>
          <w:numId w:val="1"/>
        </w:numPr>
        <w:tabs>
          <w:tab w:val="left" w:pos="1055"/>
        </w:tabs>
        <w:spacing w:before="86" w:after="0" w:line="240" w:lineRule="auto"/>
        <w:ind w:left="1054" w:right="0" w:hanging="319"/>
        <w:jc w:val="left"/>
        <w:rPr>
          <w:sz w:val="32"/>
        </w:rPr>
      </w:pPr>
      <w:r>
        <w:rPr>
          <w:spacing w:val="-5"/>
          <w:sz w:val="32"/>
        </w:rPr>
        <w:t>项目名称:</w:t>
      </w:r>
    </w:p>
    <w:p>
      <w:pPr>
        <w:pStyle w:val="9"/>
        <w:numPr>
          <w:ilvl w:val="0"/>
          <w:numId w:val="1"/>
        </w:numPr>
        <w:tabs>
          <w:tab w:val="left" w:pos="1055"/>
        </w:tabs>
        <w:spacing w:before="159" w:after="0" w:line="240" w:lineRule="auto"/>
        <w:ind w:left="1054" w:right="0" w:hanging="319"/>
        <w:jc w:val="left"/>
        <w:rPr>
          <w:sz w:val="32"/>
        </w:rPr>
      </w:pPr>
      <w:r>
        <w:rPr>
          <w:spacing w:val="-5"/>
          <w:w w:val="95"/>
          <w:sz w:val="32"/>
        </w:rPr>
        <w:t>建设期限：</w:t>
      </w:r>
    </w:p>
    <w:p>
      <w:pPr>
        <w:pStyle w:val="9"/>
        <w:numPr>
          <w:ilvl w:val="0"/>
          <w:numId w:val="1"/>
        </w:numPr>
        <w:tabs>
          <w:tab w:val="left" w:pos="1055"/>
        </w:tabs>
        <w:spacing w:before="159" w:after="0" w:line="240" w:lineRule="auto"/>
        <w:ind w:left="1054" w:right="0" w:hanging="319"/>
        <w:jc w:val="left"/>
        <w:rPr>
          <w:sz w:val="32"/>
        </w:rPr>
      </w:pPr>
      <w:r>
        <w:rPr>
          <w:spacing w:val="-5"/>
          <w:w w:val="95"/>
          <w:sz w:val="32"/>
        </w:rPr>
        <w:t>债券期限：</w:t>
      </w:r>
    </w:p>
    <w:p>
      <w:pPr>
        <w:pStyle w:val="9"/>
        <w:numPr>
          <w:ilvl w:val="0"/>
          <w:numId w:val="1"/>
        </w:numPr>
        <w:tabs>
          <w:tab w:val="left" w:pos="1055"/>
        </w:tabs>
        <w:spacing w:before="159" w:after="0" w:line="240" w:lineRule="auto"/>
        <w:ind w:left="1054" w:right="0" w:hanging="319"/>
        <w:jc w:val="left"/>
        <w:rPr>
          <w:sz w:val="32"/>
        </w:rPr>
      </w:pPr>
      <w:r>
        <w:rPr>
          <w:spacing w:val="-5"/>
          <w:w w:val="95"/>
          <w:sz w:val="32"/>
        </w:rPr>
        <w:t>项目类型：</w:t>
      </w:r>
    </w:p>
    <w:p>
      <w:pPr>
        <w:pStyle w:val="4"/>
        <w:spacing w:before="158"/>
        <w:ind w:left="735"/>
        <w:rPr>
          <w:rFonts w:hint="eastAsia" w:ascii="黑体" w:eastAsia="黑体"/>
        </w:rPr>
      </w:pPr>
      <w:r>
        <w:rPr>
          <w:rFonts w:hint="eastAsia" w:ascii="黑体" w:eastAsia="黑体"/>
        </w:rPr>
        <w:t>二、评估组织情况</w:t>
      </w:r>
    </w:p>
    <w:p>
      <w:pPr>
        <w:pStyle w:val="4"/>
        <w:spacing w:before="162" w:line="333" w:lineRule="auto"/>
        <w:ind w:left="108" w:right="262" w:firstLine="626"/>
      </w:pPr>
      <w:r>
        <w:rPr>
          <w:spacing w:val="-5"/>
          <w:w w:val="95"/>
        </w:rPr>
        <w:t>主要介绍评估总体思路、评估方法、评估主要程序及评价人</w:t>
      </w:r>
      <w:r>
        <w:rPr>
          <w:spacing w:val="-6"/>
        </w:rPr>
        <w:t>员组成情况等。</w:t>
      </w:r>
    </w:p>
    <w:p>
      <w:pPr>
        <w:pStyle w:val="4"/>
        <w:spacing w:line="408" w:lineRule="exact"/>
        <w:ind w:left="735"/>
        <w:rPr>
          <w:rFonts w:hint="eastAsia" w:ascii="黑体" w:eastAsia="黑体"/>
        </w:rPr>
      </w:pPr>
      <w:r>
        <w:rPr>
          <w:rFonts w:hint="eastAsia" w:ascii="黑体" w:eastAsia="黑体"/>
        </w:rPr>
        <w:t>三、具体评估内容</w:t>
      </w:r>
    </w:p>
    <w:p>
      <w:pPr>
        <w:pStyle w:val="3"/>
        <w:spacing w:before="53" w:line="240" w:lineRule="auto"/>
      </w:pPr>
      <w:r>
        <w:t>（一）项目立项</w:t>
      </w:r>
    </w:p>
    <w:p>
      <w:pPr>
        <w:pStyle w:val="4"/>
        <w:spacing w:before="86"/>
        <w:ind w:left="735"/>
      </w:pPr>
      <w:r>
        <w:t>评价要点：项目实施的必要性、公益性、收益性。</w:t>
      </w:r>
    </w:p>
    <w:p>
      <w:pPr>
        <w:pStyle w:val="3"/>
        <w:spacing w:before="53" w:line="240" w:lineRule="auto"/>
      </w:pPr>
      <w:r>
        <w:t>（二）项目投入与收益</w:t>
      </w:r>
    </w:p>
    <w:p>
      <w:pPr>
        <w:pStyle w:val="4"/>
        <w:spacing w:before="86" w:line="333" w:lineRule="auto"/>
        <w:ind w:left="108" w:right="260" w:firstLine="626"/>
      </w:pPr>
      <w:r>
        <w:rPr>
          <w:spacing w:val="-5"/>
          <w:w w:val="95"/>
        </w:rPr>
        <w:t>评价要点：项目资金来源和到位可行性；项目收入、成本、 收益预测合理性；债券资金需求合理性；测算方法是否科学，投</w:t>
      </w:r>
    </w:p>
    <w:p>
      <w:pPr>
        <w:spacing w:after="0" w:line="333" w:lineRule="auto"/>
        <w:sectPr>
          <w:pgSz w:w="11910" w:h="16840"/>
          <w:pgMar w:top="1580" w:right="1240" w:bottom="1400" w:left="1480" w:header="0" w:footer="1214" w:gutter="0"/>
          <w:cols w:space="720" w:num="1"/>
        </w:sectPr>
      </w:pPr>
    </w:p>
    <w:p>
      <w:pPr>
        <w:pStyle w:val="4"/>
        <w:rPr>
          <w:sz w:val="20"/>
        </w:rPr>
      </w:pPr>
    </w:p>
    <w:p>
      <w:pPr>
        <w:pStyle w:val="4"/>
        <w:spacing w:before="5"/>
        <w:rPr>
          <w:sz w:val="25"/>
        </w:rPr>
      </w:pPr>
    </w:p>
    <w:p>
      <w:pPr>
        <w:pStyle w:val="4"/>
        <w:spacing w:before="55"/>
        <w:ind w:left="108"/>
      </w:pPr>
      <w:r>
        <w:t>入方式是否最优，投入成本与预期效益是否匹配等。</w:t>
      </w:r>
    </w:p>
    <w:p>
      <w:pPr>
        <w:pStyle w:val="3"/>
        <w:spacing w:before="53" w:line="240" w:lineRule="auto"/>
      </w:pPr>
      <w:r>
        <w:t>（三）绩效目标</w:t>
      </w:r>
    </w:p>
    <w:p>
      <w:pPr>
        <w:pStyle w:val="4"/>
        <w:spacing w:before="86" w:line="333" w:lineRule="auto"/>
        <w:ind w:left="108" w:right="260" w:firstLine="626"/>
        <w:jc w:val="both"/>
      </w:pPr>
      <w:r>
        <w:rPr>
          <w:spacing w:val="-6"/>
          <w:w w:val="95"/>
        </w:rPr>
        <w:t xml:space="preserve">评价要点：绩效目标合理性；项目绩效目标是否明确，是否 </w:t>
      </w:r>
      <w:r>
        <w:rPr>
          <w:spacing w:val="-5"/>
          <w:w w:val="95"/>
        </w:rPr>
        <w:t xml:space="preserve">与相关规划及计划相符，是否与现实需求相匹配，绩效指标是否 </w:t>
      </w:r>
      <w:r>
        <w:rPr>
          <w:spacing w:val="-7"/>
        </w:rPr>
        <w:t>细化、量化、可衡量等。</w:t>
      </w:r>
    </w:p>
    <w:p>
      <w:pPr>
        <w:pStyle w:val="3"/>
        <w:spacing w:line="482" w:lineRule="exact"/>
      </w:pPr>
      <w:r>
        <w:t>（四）项目可行性</w:t>
      </w:r>
    </w:p>
    <w:p>
      <w:pPr>
        <w:pStyle w:val="4"/>
        <w:spacing w:before="86" w:line="333" w:lineRule="auto"/>
        <w:ind w:left="108" w:right="260" w:firstLine="626"/>
        <w:jc w:val="both"/>
      </w:pPr>
      <w:r>
        <w:rPr>
          <w:spacing w:val="-5"/>
          <w:w w:val="95"/>
        </w:rPr>
        <w:t xml:space="preserve">评价要点：实施方案可行性；项目建设投资合规性与项目成 熟度；项目基础保障条件是否具备，论证程序是否规范，组织实 施方案、措施和完成时限等是否科学合理，不确定因素和风险是 </w:t>
      </w:r>
      <w:r>
        <w:rPr>
          <w:spacing w:val="-7"/>
        </w:rPr>
        <w:t>否可控；是否超出财政可承受能力等。</w:t>
      </w:r>
    </w:p>
    <w:p>
      <w:pPr>
        <w:pStyle w:val="3"/>
        <w:spacing w:line="469" w:lineRule="exact"/>
      </w:pPr>
      <w:r>
        <w:rPr>
          <w:spacing w:val="-5"/>
          <w:w w:val="95"/>
        </w:rPr>
        <w:t>（五）</w:t>
      </w:r>
      <w:r>
        <w:rPr>
          <w:spacing w:val="-7"/>
          <w:w w:val="95"/>
        </w:rPr>
        <w:t>项目偿债计划可行性和偿债风险点。</w:t>
      </w:r>
    </w:p>
    <w:p>
      <w:pPr>
        <w:spacing w:before="0" w:line="579" w:lineRule="exact"/>
        <w:ind w:left="735" w:right="0" w:firstLine="0"/>
        <w:jc w:val="left"/>
        <w:rPr>
          <w:rFonts w:hint="eastAsia" w:ascii="Microsoft JhengHei" w:eastAsia="Microsoft JhengHei"/>
          <w:b/>
          <w:sz w:val="32"/>
        </w:rPr>
      </w:pPr>
      <w:r>
        <w:rPr>
          <w:rFonts w:hint="eastAsia" w:ascii="Microsoft JhengHei" w:eastAsia="Microsoft JhengHei"/>
          <w:b/>
          <w:spacing w:val="-5"/>
          <w:w w:val="95"/>
          <w:sz w:val="32"/>
        </w:rPr>
        <w:t>（六）</w:t>
      </w:r>
      <w:r>
        <w:rPr>
          <w:rFonts w:hint="eastAsia" w:ascii="Microsoft JhengHei" w:eastAsia="Microsoft JhengHei"/>
          <w:b/>
          <w:spacing w:val="-7"/>
          <w:w w:val="95"/>
          <w:sz w:val="32"/>
        </w:rPr>
        <w:t>其他需要纳入事前绩效评估的事项。</w:t>
      </w:r>
    </w:p>
    <w:p>
      <w:pPr>
        <w:pStyle w:val="4"/>
        <w:spacing w:before="86"/>
        <w:ind w:left="735"/>
        <w:rPr>
          <w:rFonts w:hint="eastAsia" w:ascii="黑体" w:eastAsia="黑体"/>
        </w:rPr>
      </w:pPr>
      <w:r>
        <w:rPr>
          <w:rFonts w:hint="eastAsia" w:ascii="黑体" w:eastAsia="黑体"/>
        </w:rPr>
        <w:t>四、总体结论</w:t>
      </w:r>
    </w:p>
    <w:p>
      <w:pPr>
        <w:pStyle w:val="4"/>
        <w:spacing w:before="159" w:line="333" w:lineRule="auto"/>
        <w:ind w:left="108" w:right="262" w:firstLine="626"/>
      </w:pPr>
      <w:r>
        <w:rPr>
          <w:spacing w:val="-5"/>
          <w:w w:val="95"/>
        </w:rPr>
        <w:t xml:space="preserve">包括对于地方经济的拉动、风险控制、未来还款能力、项目 </w:t>
      </w:r>
      <w:r>
        <w:rPr>
          <w:spacing w:val="-5"/>
        </w:rPr>
        <w:t>收益等。</w:t>
      </w:r>
    </w:p>
    <w:p>
      <w:pPr>
        <w:pStyle w:val="4"/>
        <w:spacing w:line="333" w:lineRule="auto"/>
        <w:ind w:left="735" w:right="6507"/>
        <w:rPr>
          <w:rFonts w:hint="eastAsia" w:ascii="黑体" w:eastAsia="黑体"/>
        </w:rPr>
      </w:pPr>
      <w:r>
        <w:rPr>
          <w:rFonts w:hint="eastAsia" w:ascii="黑体" w:eastAsia="黑体"/>
        </w:rPr>
        <w:t>五、相关建议六、附件</w:t>
      </w:r>
    </w:p>
    <w:p>
      <w:pPr>
        <w:pStyle w:val="4"/>
        <w:ind w:left="735"/>
      </w:pPr>
      <w:r>
        <w:t>包括绩效目标申报表、其他应作为附件的佐证材料等。</w:t>
      </w:r>
    </w:p>
    <w:p>
      <w:pPr>
        <w:spacing w:after="0"/>
        <w:sectPr>
          <w:pgSz w:w="11910" w:h="16840"/>
          <w:pgMar w:top="1580" w:right="1240" w:bottom="1400" w:left="1480" w:header="0" w:footer="1214" w:gutter="0"/>
          <w:cols w:space="720" w:num="1"/>
        </w:sectPr>
      </w:pPr>
    </w:p>
    <w:p>
      <w:pPr>
        <w:pStyle w:val="4"/>
        <w:spacing w:before="1"/>
        <w:rPr>
          <w:rFonts w:ascii="黑体"/>
          <w:sz w:val="24"/>
          <w:szCs w:val="24"/>
        </w:rPr>
      </w:pPr>
      <w:bookmarkStart w:id="1" w:name="1485附件2.pdf"/>
      <w:bookmarkEnd w:id="1"/>
      <w:r>
        <w:rPr>
          <w:rFonts w:hint="eastAsia" w:ascii="黑体" w:eastAsia="黑体"/>
          <w:b w:val="0"/>
          <w:bCs w:val="0"/>
          <w:sz w:val="24"/>
          <w:szCs w:val="24"/>
        </w:rPr>
        <w:t>附件2</w:t>
      </w:r>
    </w:p>
    <w:p>
      <w:pPr>
        <w:spacing w:before="1"/>
        <w:ind w:left="166" w:right="0" w:firstLine="0"/>
        <w:jc w:val="left"/>
        <w:rPr>
          <w:b/>
          <w:sz w:val="22"/>
        </w:rPr>
      </w:pPr>
      <w:r>
        <w:rPr>
          <w:b/>
          <w:sz w:val="22"/>
        </w:rPr>
        <w:t>地方政府专项债券资金项目支出绩效目标表（参考）</w:t>
      </w:r>
    </w:p>
    <w:p>
      <w:pPr>
        <w:spacing w:after="0"/>
        <w:jc w:val="left"/>
        <w:rPr>
          <w:sz w:val="22"/>
        </w:rPr>
        <w:sectPr>
          <w:pgSz w:w="11910" w:h="16840"/>
          <w:pgMar w:top="1060" w:right="1239" w:bottom="1340" w:left="1480" w:header="0" w:footer="1214" w:gutter="0"/>
          <w:cols w:equalWidth="0" w:num="2">
            <w:col w:w="644" w:space="1080"/>
            <w:col w:w="7467"/>
          </w:cols>
        </w:sectPr>
      </w:pPr>
    </w:p>
    <w:p>
      <w:pPr>
        <w:pStyle w:val="4"/>
        <w:spacing w:after="1"/>
        <w:rPr>
          <w:b/>
          <w:sz w:val="25"/>
        </w:rPr>
      </w:pPr>
    </w:p>
    <w:tbl>
      <w:tblPr>
        <w:tblStyle w:val="7"/>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924"/>
        <w:gridCol w:w="1694"/>
        <w:gridCol w:w="984"/>
        <w:gridCol w:w="3192"/>
        <w:gridCol w:w="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0" w:hRule="atLeast"/>
        </w:trPr>
        <w:tc>
          <w:tcPr>
            <w:tcW w:w="967" w:type="dxa"/>
          </w:tcPr>
          <w:p>
            <w:pPr>
              <w:pStyle w:val="10"/>
              <w:spacing w:before="77"/>
              <w:ind w:left="23"/>
              <w:rPr>
                <w:sz w:val="15"/>
              </w:rPr>
            </w:pPr>
            <w:r>
              <w:rPr>
                <w:sz w:val="15"/>
              </w:rPr>
              <w:t>项目名称</w:t>
            </w:r>
          </w:p>
        </w:tc>
        <w:tc>
          <w:tcPr>
            <w:tcW w:w="2618" w:type="dxa"/>
            <w:gridSpan w:val="2"/>
          </w:tcPr>
          <w:p>
            <w:pPr>
              <w:pStyle w:val="10"/>
              <w:rPr>
                <w:rFonts w:ascii="Times New Roman"/>
                <w:sz w:val="14"/>
              </w:rPr>
            </w:pPr>
          </w:p>
        </w:tc>
        <w:tc>
          <w:tcPr>
            <w:tcW w:w="984" w:type="dxa"/>
          </w:tcPr>
          <w:p>
            <w:pPr>
              <w:pStyle w:val="10"/>
              <w:spacing w:before="77"/>
              <w:ind w:left="199"/>
              <w:rPr>
                <w:sz w:val="15"/>
              </w:rPr>
            </w:pPr>
            <w:r>
              <w:rPr>
                <w:sz w:val="15"/>
              </w:rPr>
              <w:t>使用领域</w:t>
            </w:r>
          </w:p>
        </w:tc>
        <w:tc>
          <w:tcPr>
            <w:tcW w:w="4099" w:type="dxa"/>
            <w:gridSpan w:val="2"/>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967" w:type="dxa"/>
          </w:tcPr>
          <w:p>
            <w:pPr>
              <w:pStyle w:val="10"/>
              <w:spacing w:before="75"/>
              <w:ind w:left="23"/>
              <w:rPr>
                <w:sz w:val="15"/>
              </w:rPr>
            </w:pPr>
            <w:r>
              <w:rPr>
                <w:sz w:val="15"/>
              </w:rPr>
              <w:t>主管部门</w:t>
            </w:r>
          </w:p>
        </w:tc>
        <w:tc>
          <w:tcPr>
            <w:tcW w:w="2618" w:type="dxa"/>
            <w:gridSpan w:val="2"/>
          </w:tcPr>
          <w:p>
            <w:pPr>
              <w:pStyle w:val="10"/>
              <w:rPr>
                <w:rFonts w:ascii="Times New Roman"/>
                <w:sz w:val="14"/>
              </w:rPr>
            </w:pPr>
          </w:p>
        </w:tc>
        <w:tc>
          <w:tcPr>
            <w:tcW w:w="984" w:type="dxa"/>
          </w:tcPr>
          <w:p>
            <w:pPr>
              <w:pStyle w:val="10"/>
              <w:spacing w:before="75"/>
              <w:ind w:left="50"/>
              <w:rPr>
                <w:sz w:val="15"/>
              </w:rPr>
            </w:pPr>
            <w:r>
              <w:rPr>
                <w:sz w:val="15"/>
              </w:rPr>
              <w:t>项目实施单位</w:t>
            </w:r>
          </w:p>
        </w:tc>
        <w:tc>
          <w:tcPr>
            <w:tcW w:w="4099" w:type="dxa"/>
            <w:gridSpan w:val="2"/>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967" w:type="dxa"/>
          </w:tcPr>
          <w:p>
            <w:pPr>
              <w:pStyle w:val="10"/>
              <w:spacing w:before="115"/>
              <w:ind w:left="23"/>
              <w:rPr>
                <w:sz w:val="15"/>
              </w:rPr>
            </w:pPr>
            <w:r>
              <w:rPr>
                <w:sz w:val="15"/>
              </w:rPr>
              <w:t>项目属性</w:t>
            </w:r>
          </w:p>
        </w:tc>
        <w:tc>
          <w:tcPr>
            <w:tcW w:w="7701" w:type="dxa"/>
            <w:gridSpan w:val="5"/>
          </w:tcPr>
          <w:p>
            <w:pPr>
              <w:pStyle w:val="10"/>
              <w:spacing w:before="115"/>
              <w:ind w:left="2068"/>
              <w:rPr>
                <w:sz w:val="15"/>
              </w:rPr>
            </w:pPr>
            <w:r>
              <w:rPr>
                <w:sz w:val="15"/>
              </w:rPr>
              <w:t>以前年度延续性项目□ 20XX年新增项目□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967" w:type="dxa"/>
          </w:tcPr>
          <w:p>
            <w:pPr>
              <w:pStyle w:val="10"/>
              <w:spacing w:before="86"/>
              <w:ind w:left="23"/>
              <w:rPr>
                <w:sz w:val="15"/>
              </w:rPr>
            </w:pPr>
            <w:r>
              <w:rPr>
                <w:sz w:val="15"/>
              </w:rPr>
              <w:t>项目期限</w:t>
            </w:r>
          </w:p>
        </w:tc>
        <w:tc>
          <w:tcPr>
            <w:tcW w:w="7701" w:type="dxa"/>
            <w:gridSpan w:val="5"/>
          </w:tcPr>
          <w:p>
            <w:pPr>
              <w:pStyle w:val="10"/>
              <w:spacing w:before="86"/>
              <w:ind w:left="21"/>
              <w:jc w:val="center"/>
              <w:rPr>
                <w:sz w:val="15"/>
              </w:rPr>
            </w:pPr>
            <w:r>
              <w:rPr>
                <w:sz w:val="15"/>
              </w:rPr>
              <w:t>年     月     至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967" w:type="dxa"/>
            <w:vMerge w:val="restart"/>
          </w:tcPr>
          <w:p>
            <w:pPr>
              <w:pStyle w:val="10"/>
              <w:rPr>
                <w:b/>
                <w:sz w:val="14"/>
              </w:rPr>
            </w:pPr>
          </w:p>
          <w:p>
            <w:pPr>
              <w:pStyle w:val="10"/>
              <w:spacing w:before="6"/>
              <w:rPr>
                <w:b/>
                <w:sz w:val="20"/>
              </w:rPr>
            </w:pPr>
          </w:p>
          <w:p>
            <w:pPr>
              <w:pStyle w:val="10"/>
              <w:spacing w:line="186" w:lineRule="exact"/>
              <w:ind w:left="21"/>
              <w:jc w:val="center"/>
              <w:rPr>
                <w:sz w:val="15"/>
              </w:rPr>
            </w:pPr>
            <w:r>
              <w:rPr>
                <w:sz w:val="15"/>
              </w:rPr>
              <w:t>项目拟投资数</w:t>
            </w:r>
          </w:p>
          <w:p>
            <w:pPr>
              <w:pStyle w:val="10"/>
              <w:spacing w:line="186" w:lineRule="exact"/>
              <w:ind w:left="21"/>
              <w:jc w:val="center"/>
              <w:rPr>
                <w:sz w:val="15"/>
              </w:rPr>
            </w:pPr>
            <w:r>
              <w:rPr>
                <w:sz w:val="15"/>
              </w:rPr>
              <w:t>（万元）</w:t>
            </w:r>
          </w:p>
        </w:tc>
        <w:tc>
          <w:tcPr>
            <w:tcW w:w="6794" w:type="dxa"/>
            <w:gridSpan w:val="4"/>
          </w:tcPr>
          <w:p>
            <w:pPr>
              <w:pStyle w:val="10"/>
              <w:spacing w:before="60"/>
              <w:ind w:left="23"/>
              <w:rPr>
                <w:sz w:val="15"/>
              </w:rPr>
            </w:pPr>
            <w:r>
              <w:rPr>
                <w:sz w:val="15"/>
              </w:rPr>
              <w:t>项目资金总额： 万元</w:t>
            </w:r>
          </w:p>
        </w:tc>
        <w:tc>
          <w:tcPr>
            <w:tcW w:w="907" w:type="dxa"/>
            <w:vMerge w:val="restart"/>
          </w:tcPr>
          <w:p>
            <w:pPr>
              <w:pStyle w:val="10"/>
              <w:rPr>
                <w:b/>
                <w:sz w:val="14"/>
              </w:rPr>
            </w:pPr>
          </w:p>
          <w:p>
            <w:pPr>
              <w:pStyle w:val="10"/>
              <w:spacing w:before="6"/>
              <w:rPr>
                <w:b/>
                <w:sz w:val="20"/>
              </w:rPr>
            </w:pPr>
          </w:p>
          <w:p>
            <w:pPr>
              <w:pStyle w:val="10"/>
              <w:spacing w:line="186" w:lineRule="exact"/>
              <w:ind w:left="63" w:right="39"/>
              <w:jc w:val="center"/>
              <w:rPr>
                <w:sz w:val="15"/>
              </w:rPr>
            </w:pPr>
            <w:r>
              <w:rPr>
                <w:sz w:val="15"/>
              </w:rPr>
              <w:t>执行率分值</w:t>
            </w:r>
          </w:p>
          <w:p>
            <w:pPr>
              <w:pStyle w:val="10"/>
              <w:spacing w:line="186" w:lineRule="exact"/>
              <w:ind w:left="63" w:right="39"/>
              <w:jc w:val="center"/>
              <w:rPr>
                <w:sz w:val="15"/>
              </w:rPr>
            </w:pPr>
            <w:r>
              <w:rPr>
                <w:sz w:val="15"/>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967" w:type="dxa"/>
            <w:vMerge w:val="continue"/>
            <w:tcBorders>
              <w:top w:val="nil"/>
            </w:tcBorders>
          </w:tcPr>
          <w:p>
            <w:pPr>
              <w:rPr>
                <w:sz w:val="2"/>
                <w:szCs w:val="2"/>
              </w:rPr>
            </w:pPr>
          </w:p>
        </w:tc>
        <w:tc>
          <w:tcPr>
            <w:tcW w:w="6794" w:type="dxa"/>
            <w:gridSpan w:val="4"/>
          </w:tcPr>
          <w:p>
            <w:pPr>
              <w:pStyle w:val="10"/>
              <w:spacing w:before="60"/>
              <w:ind w:left="23"/>
              <w:rPr>
                <w:sz w:val="15"/>
              </w:rPr>
            </w:pPr>
            <w:r>
              <w:rPr>
                <w:w w:val="98"/>
                <w:sz w:val="15"/>
              </w:rPr>
              <w:t xml:space="preserve">    </w:t>
            </w:r>
            <w:r>
              <w:rPr>
                <w:sz w:val="15"/>
              </w:rPr>
              <w:t>其中：1.政府专项债券资金 万元</w:t>
            </w:r>
          </w:p>
        </w:tc>
        <w:tc>
          <w:tcPr>
            <w:tcW w:w="907"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967" w:type="dxa"/>
            <w:vMerge w:val="continue"/>
            <w:tcBorders>
              <w:top w:val="nil"/>
            </w:tcBorders>
          </w:tcPr>
          <w:p>
            <w:pPr>
              <w:rPr>
                <w:sz w:val="2"/>
                <w:szCs w:val="2"/>
              </w:rPr>
            </w:pPr>
          </w:p>
        </w:tc>
        <w:tc>
          <w:tcPr>
            <w:tcW w:w="6794" w:type="dxa"/>
            <w:gridSpan w:val="4"/>
          </w:tcPr>
          <w:p>
            <w:pPr>
              <w:pStyle w:val="10"/>
              <w:spacing w:before="60"/>
              <w:ind w:left="23"/>
              <w:rPr>
                <w:sz w:val="15"/>
              </w:rPr>
            </w:pPr>
            <w:r>
              <w:rPr>
                <w:w w:val="98"/>
                <w:sz w:val="15"/>
              </w:rPr>
              <w:t xml:space="preserve">          </w:t>
            </w:r>
            <w:r>
              <w:rPr>
                <w:sz w:val="15"/>
              </w:rPr>
              <w:t>2.其他财政拨款资金 万元</w:t>
            </w:r>
          </w:p>
        </w:tc>
        <w:tc>
          <w:tcPr>
            <w:tcW w:w="907"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967" w:type="dxa"/>
            <w:vMerge w:val="continue"/>
            <w:tcBorders>
              <w:top w:val="nil"/>
            </w:tcBorders>
          </w:tcPr>
          <w:p>
            <w:pPr>
              <w:rPr>
                <w:sz w:val="2"/>
                <w:szCs w:val="2"/>
              </w:rPr>
            </w:pPr>
          </w:p>
        </w:tc>
        <w:tc>
          <w:tcPr>
            <w:tcW w:w="6794" w:type="dxa"/>
            <w:gridSpan w:val="4"/>
          </w:tcPr>
          <w:p>
            <w:pPr>
              <w:pStyle w:val="10"/>
              <w:spacing w:before="67"/>
              <w:ind w:left="23"/>
              <w:rPr>
                <w:sz w:val="15"/>
              </w:rPr>
            </w:pPr>
            <w:r>
              <w:rPr>
                <w:w w:val="98"/>
                <w:sz w:val="15"/>
              </w:rPr>
              <w:t xml:space="preserve">          </w:t>
            </w:r>
            <w:r>
              <w:rPr>
                <w:sz w:val="15"/>
              </w:rPr>
              <w:t>3.除财政拨款外的其他资金 万元</w:t>
            </w:r>
          </w:p>
        </w:tc>
        <w:tc>
          <w:tcPr>
            <w:tcW w:w="907"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967" w:type="dxa"/>
          </w:tcPr>
          <w:p>
            <w:pPr>
              <w:pStyle w:val="10"/>
              <w:rPr>
                <w:b/>
                <w:sz w:val="14"/>
              </w:rPr>
            </w:pPr>
          </w:p>
          <w:p>
            <w:pPr>
              <w:pStyle w:val="10"/>
              <w:spacing w:before="12"/>
              <w:rPr>
                <w:b/>
                <w:sz w:val="15"/>
              </w:rPr>
            </w:pPr>
          </w:p>
          <w:p>
            <w:pPr>
              <w:pStyle w:val="10"/>
              <w:ind w:left="189"/>
              <w:rPr>
                <w:sz w:val="15"/>
              </w:rPr>
            </w:pPr>
            <w:r>
              <w:rPr>
                <w:sz w:val="15"/>
              </w:rPr>
              <w:t>总体目标</w:t>
            </w:r>
          </w:p>
        </w:tc>
        <w:tc>
          <w:tcPr>
            <w:tcW w:w="7701" w:type="dxa"/>
            <w:gridSpan w:val="5"/>
          </w:tcPr>
          <w:p>
            <w:pPr>
              <w:pStyle w:val="10"/>
              <w:spacing w:before="8"/>
              <w:rPr>
                <w:b/>
                <w:sz w:val="14"/>
              </w:rPr>
            </w:pPr>
          </w:p>
          <w:p>
            <w:pPr>
              <w:pStyle w:val="10"/>
              <w:numPr>
                <w:ilvl w:val="0"/>
                <w:numId w:val="2"/>
              </w:numPr>
              <w:tabs>
                <w:tab w:val="left" w:pos="3483"/>
              </w:tabs>
              <w:spacing w:before="0" w:after="0" w:line="186" w:lineRule="exact"/>
              <w:ind w:left="3483" w:right="0" w:hanging="150"/>
              <w:jc w:val="left"/>
              <w:rPr>
                <w:sz w:val="15"/>
              </w:rPr>
            </w:pPr>
            <w:r>
              <w:rPr>
                <w:w w:val="95"/>
                <w:sz w:val="15"/>
              </w:rPr>
              <w:t>预期产出目标</w:t>
            </w:r>
          </w:p>
          <w:p>
            <w:pPr>
              <w:pStyle w:val="10"/>
              <w:numPr>
                <w:ilvl w:val="0"/>
                <w:numId w:val="2"/>
              </w:numPr>
              <w:tabs>
                <w:tab w:val="left" w:pos="3483"/>
              </w:tabs>
              <w:spacing w:before="0" w:after="0" w:line="181" w:lineRule="exact"/>
              <w:ind w:left="3483" w:right="0" w:hanging="150"/>
              <w:jc w:val="left"/>
              <w:rPr>
                <w:sz w:val="15"/>
              </w:rPr>
            </w:pPr>
            <w:r>
              <w:rPr>
                <w:w w:val="95"/>
                <w:sz w:val="15"/>
              </w:rPr>
              <w:t>融资成本目标</w:t>
            </w:r>
          </w:p>
          <w:p>
            <w:pPr>
              <w:pStyle w:val="10"/>
              <w:numPr>
                <w:ilvl w:val="0"/>
                <w:numId w:val="2"/>
              </w:numPr>
              <w:tabs>
                <w:tab w:val="left" w:pos="3483"/>
              </w:tabs>
              <w:spacing w:before="0" w:after="0" w:line="181" w:lineRule="exact"/>
              <w:ind w:left="3483" w:right="0" w:hanging="150"/>
              <w:jc w:val="left"/>
              <w:rPr>
                <w:sz w:val="15"/>
              </w:rPr>
            </w:pPr>
            <w:r>
              <w:rPr>
                <w:w w:val="95"/>
                <w:sz w:val="15"/>
              </w:rPr>
              <w:t>偿债风险目标</w:t>
            </w:r>
          </w:p>
          <w:p>
            <w:pPr>
              <w:pStyle w:val="10"/>
              <w:spacing w:line="186" w:lineRule="exact"/>
              <w:ind w:left="21"/>
              <w:jc w:val="center"/>
              <w:rPr>
                <w:sz w:val="15"/>
              </w:rPr>
            </w:pPr>
            <w:r>
              <w:rPr>
                <w:w w:val="98"/>
                <w:sz w:val="15"/>
              </w:rPr>
              <w:t xml:space="preserve">  </w:t>
            </w:r>
            <w:r>
              <w:rPr>
                <w:sz w:val="15"/>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967" w:type="dxa"/>
            <w:vMerge w:val="restart"/>
          </w:tcPr>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spacing w:before="3"/>
              <w:rPr>
                <w:b/>
                <w:sz w:val="14"/>
              </w:rPr>
            </w:pPr>
          </w:p>
          <w:p>
            <w:pPr>
              <w:pStyle w:val="10"/>
              <w:spacing w:line="225" w:lineRule="auto"/>
              <w:ind w:left="412" w:right="389"/>
              <w:jc w:val="both"/>
              <w:rPr>
                <w:sz w:val="15"/>
              </w:rPr>
            </w:pPr>
            <w:r>
              <w:rPr>
                <w:sz w:val="15"/>
              </w:rPr>
              <w:t>绩效指标</w:t>
            </w:r>
          </w:p>
        </w:tc>
        <w:tc>
          <w:tcPr>
            <w:tcW w:w="924" w:type="dxa"/>
          </w:tcPr>
          <w:p>
            <w:pPr>
              <w:pStyle w:val="10"/>
              <w:spacing w:before="11"/>
              <w:rPr>
                <w:b/>
                <w:sz w:val="10"/>
              </w:rPr>
            </w:pPr>
          </w:p>
          <w:p>
            <w:pPr>
              <w:pStyle w:val="10"/>
              <w:ind w:left="167"/>
              <w:rPr>
                <w:sz w:val="15"/>
              </w:rPr>
            </w:pPr>
            <w:r>
              <w:rPr>
                <w:sz w:val="15"/>
              </w:rPr>
              <w:t>一级指标</w:t>
            </w:r>
          </w:p>
        </w:tc>
        <w:tc>
          <w:tcPr>
            <w:tcW w:w="1694" w:type="dxa"/>
          </w:tcPr>
          <w:p>
            <w:pPr>
              <w:pStyle w:val="10"/>
              <w:spacing w:before="11"/>
              <w:rPr>
                <w:b/>
                <w:sz w:val="10"/>
              </w:rPr>
            </w:pPr>
          </w:p>
          <w:p>
            <w:pPr>
              <w:pStyle w:val="10"/>
              <w:ind w:left="531" w:right="507"/>
              <w:jc w:val="center"/>
              <w:rPr>
                <w:sz w:val="15"/>
              </w:rPr>
            </w:pPr>
            <w:r>
              <w:rPr>
                <w:sz w:val="15"/>
              </w:rPr>
              <w:t>二级指标</w:t>
            </w:r>
          </w:p>
        </w:tc>
        <w:tc>
          <w:tcPr>
            <w:tcW w:w="984" w:type="dxa"/>
          </w:tcPr>
          <w:p>
            <w:pPr>
              <w:pStyle w:val="10"/>
              <w:spacing w:before="11"/>
              <w:rPr>
                <w:b/>
                <w:sz w:val="10"/>
              </w:rPr>
            </w:pPr>
          </w:p>
          <w:p>
            <w:pPr>
              <w:pStyle w:val="10"/>
              <w:ind w:left="199"/>
              <w:rPr>
                <w:sz w:val="15"/>
              </w:rPr>
            </w:pPr>
            <w:r>
              <w:rPr>
                <w:sz w:val="15"/>
              </w:rPr>
              <w:t>三级指标</w:t>
            </w:r>
          </w:p>
        </w:tc>
        <w:tc>
          <w:tcPr>
            <w:tcW w:w="3192" w:type="dxa"/>
          </w:tcPr>
          <w:p>
            <w:pPr>
              <w:pStyle w:val="10"/>
              <w:spacing w:before="11"/>
              <w:rPr>
                <w:b/>
                <w:sz w:val="10"/>
              </w:rPr>
            </w:pPr>
          </w:p>
          <w:p>
            <w:pPr>
              <w:pStyle w:val="10"/>
              <w:ind w:left="1353" w:right="1333"/>
              <w:jc w:val="center"/>
              <w:rPr>
                <w:sz w:val="15"/>
              </w:rPr>
            </w:pPr>
            <w:r>
              <w:rPr>
                <w:sz w:val="15"/>
              </w:rPr>
              <w:t>指标值</w:t>
            </w:r>
          </w:p>
        </w:tc>
        <w:tc>
          <w:tcPr>
            <w:tcW w:w="907" w:type="dxa"/>
          </w:tcPr>
          <w:p>
            <w:pPr>
              <w:pStyle w:val="10"/>
              <w:spacing w:before="56" w:line="228" w:lineRule="auto"/>
              <w:ind w:left="309" w:right="93" w:hanging="149"/>
              <w:rPr>
                <w:sz w:val="15"/>
              </w:rPr>
            </w:pPr>
            <w:r>
              <w:rPr>
                <w:sz w:val="15"/>
              </w:rPr>
              <w:t>分值权重(90)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restart"/>
          </w:tcPr>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spacing w:before="99" w:line="228" w:lineRule="auto"/>
              <w:ind w:left="390" w:right="367"/>
              <w:jc w:val="both"/>
              <w:rPr>
                <w:sz w:val="15"/>
              </w:rPr>
            </w:pPr>
            <w:r>
              <w:rPr>
                <w:sz w:val="15"/>
              </w:rPr>
              <w:t>成本指标</w:t>
            </w:r>
          </w:p>
        </w:tc>
        <w:tc>
          <w:tcPr>
            <w:tcW w:w="1694" w:type="dxa"/>
            <w:vMerge w:val="restart"/>
          </w:tcPr>
          <w:p>
            <w:pPr>
              <w:pStyle w:val="10"/>
              <w:rPr>
                <w:b/>
                <w:sz w:val="14"/>
              </w:rPr>
            </w:pPr>
          </w:p>
          <w:p>
            <w:pPr>
              <w:pStyle w:val="10"/>
              <w:spacing w:before="4"/>
              <w:rPr>
                <w:b/>
                <w:sz w:val="10"/>
              </w:rPr>
            </w:pPr>
          </w:p>
          <w:p>
            <w:pPr>
              <w:pStyle w:val="10"/>
              <w:ind w:left="405"/>
              <w:rPr>
                <w:sz w:val="15"/>
              </w:rPr>
            </w:pPr>
            <w:r>
              <w:rPr>
                <w:sz w:val="15"/>
              </w:rPr>
              <w:t>经济成本指标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rPr>
                <w:b/>
                <w:sz w:val="14"/>
              </w:rPr>
            </w:pPr>
          </w:p>
          <w:p>
            <w:pPr>
              <w:pStyle w:val="10"/>
              <w:spacing w:before="5"/>
              <w:rPr>
                <w:b/>
                <w:sz w:val="10"/>
              </w:rPr>
            </w:pPr>
          </w:p>
          <w:p>
            <w:pPr>
              <w:pStyle w:val="10"/>
              <w:ind w:left="405"/>
              <w:rPr>
                <w:sz w:val="15"/>
              </w:rPr>
            </w:pPr>
            <w:r>
              <w:rPr>
                <w:sz w:val="15"/>
              </w:rPr>
              <w:t>社会成本指标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rPr>
                <w:b/>
                <w:sz w:val="14"/>
              </w:rPr>
            </w:pPr>
          </w:p>
          <w:p>
            <w:pPr>
              <w:pStyle w:val="10"/>
              <w:spacing w:before="4"/>
              <w:rPr>
                <w:b/>
                <w:sz w:val="10"/>
              </w:rPr>
            </w:pPr>
          </w:p>
          <w:p>
            <w:pPr>
              <w:pStyle w:val="10"/>
              <w:spacing w:before="1"/>
              <w:ind w:left="256"/>
              <w:rPr>
                <w:sz w:val="15"/>
              </w:rPr>
            </w:pPr>
            <w:r>
              <w:rPr>
                <w:sz w:val="15"/>
              </w:rPr>
              <w:t>生态环境成本指标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tcPr>
          <w:p>
            <w:pPr>
              <w:pStyle w:val="10"/>
              <w:spacing w:before="41"/>
              <w:ind w:left="531" w:right="507"/>
              <w:jc w:val="center"/>
              <w:rPr>
                <w:sz w:val="15"/>
              </w:rPr>
            </w:pPr>
            <w:r>
              <w:rPr>
                <w:sz w:val="15"/>
              </w:rPr>
              <w:t>……</w:t>
            </w:r>
          </w:p>
        </w:tc>
        <w:tc>
          <w:tcPr>
            <w:tcW w:w="984" w:type="dxa"/>
          </w:tcPr>
          <w:p>
            <w:pPr>
              <w:pStyle w:val="10"/>
              <w:rPr>
                <w:rFonts w:ascii="Times New Roman"/>
                <w:sz w:val="14"/>
              </w:rPr>
            </w:pP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restart"/>
          </w:tcPr>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spacing w:before="99" w:line="228" w:lineRule="auto"/>
              <w:ind w:left="390" w:right="367"/>
              <w:jc w:val="both"/>
              <w:rPr>
                <w:sz w:val="15"/>
              </w:rPr>
            </w:pPr>
            <w:r>
              <w:rPr>
                <w:sz w:val="15"/>
              </w:rPr>
              <w:t>产出指标</w:t>
            </w:r>
          </w:p>
        </w:tc>
        <w:tc>
          <w:tcPr>
            <w:tcW w:w="1694" w:type="dxa"/>
            <w:vMerge w:val="restart"/>
          </w:tcPr>
          <w:p>
            <w:pPr>
              <w:pStyle w:val="10"/>
              <w:rPr>
                <w:b/>
                <w:sz w:val="14"/>
              </w:rPr>
            </w:pPr>
          </w:p>
          <w:p>
            <w:pPr>
              <w:pStyle w:val="10"/>
              <w:spacing w:before="5"/>
              <w:rPr>
                <w:b/>
                <w:sz w:val="10"/>
              </w:rPr>
            </w:pPr>
          </w:p>
          <w:p>
            <w:pPr>
              <w:pStyle w:val="10"/>
              <w:ind w:left="554"/>
              <w:rPr>
                <w:sz w:val="15"/>
              </w:rPr>
            </w:pPr>
            <w:r>
              <w:rPr>
                <w:sz w:val="15"/>
              </w:rPr>
              <w:t>数量指标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rPr>
                <w:b/>
                <w:sz w:val="14"/>
              </w:rPr>
            </w:pPr>
          </w:p>
          <w:p>
            <w:pPr>
              <w:pStyle w:val="10"/>
              <w:spacing w:before="4"/>
              <w:rPr>
                <w:b/>
                <w:sz w:val="10"/>
              </w:rPr>
            </w:pPr>
          </w:p>
          <w:p>
            <w:pPr>
              <w:pStyle w:val="10"/>
              <w:spacing w:before="1"/>
              <w:ind w:left="554"/>
              <w:rPr>
                <w:sz w:val="15"/>
              </w:rPr>
            </w:pPr>
            <w:r>
              <w:rPr>
                <w:sz w:val="15"/>
              </w:rPr>
              <w:t>质量指标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rPr>
                <w:b/>
                <w:sz w:val="14"/>
              </w:rPr>
            </w:pPr>
          </w:p>
          <w:p>
            <w:pPr>
              <w:pStyle w:val="10"/>
              <w:spacing w:before="4"/>
              <w:rPr>
                <w:b/>
                <w:sz w:val="10"/>
              </w:rPr>
            </w:pPr>
          </w:p>
          <w:p>
            <w:pPr>
              <w:pStyle w:val="10"/>
              <w:ind w:left="554"/>
              <w:rPr>
                <w:sz w:val="15"/>
              </w:rPr>
            </w:pPr>
            <w:r>
              <w:rPr>
                <w:sz w:val="15"/>
              </w:rPr>
              <w:t>时效指标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tcPr>
          <w:p>
            <w:pPr>
              <w:pStyle w:val="10"/>
              <w:spacing w:before="41"/>
              <w:ind w:left="531" w:right="507"/>
              <w:jc w:val="center"/>
              <w:rPr>
                <w:sz w:val="15"/>
              </w:rPr>
            </w:pPr>
            <w:r>
              <w:rPr>
                <w:sz w:val="15"/>
              </w:rPr>
              <w:t>……</w:t>
            </w:r>
          </w:p>
        </w:tc>
        <w:tc>
          <w:tcPr>
            <w:tcW w:w="984" w:type="dxa"/>
          </w:tcPr>
          <w:p>
            <w:pPr>
              <w:pStyle w:val="10"/>
              <w:rPr>
                <w:rFonts w:ascii="Times New Roman"/>
                <w:sz w:val="14"/>
              </w:rPr>
            </w:pP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restart"/>
          </w:tcPr>
          <w:p>
            <w:pPr>
              <w:pStyle w:val="10"/>
              <w:rPr>
                <w:b/>
                <w:sz w:val="14"/>
              </w:rPr>
            </w:pPr>
          </w:p>
          <w:p>
            <w:pPr>
              <w:pStyle w:val="10"/>
              <w:rPr>
                <w:b/>
                <w:sz w:val="14"/>
              </w:rPr>
            </w:pPr>
          </w:p>
          <w:p>
            <w:pPr>
              <w:pStyle w:val="10"/>
              <w:rPr>
                <w:b/>
                <w:sz w:val="14"/>
              </w:rPr>
            </w:pPr>
          </w:p>
          <w:p>
            <w:pPr>
              <w:pStyle w:val="10"/>
              <w:rPr>
                <w:b/>
                <w:sz w:val="14"/>
              </w:rPr>
            </w:pPr>
          </w:p>
          <w:p>
            <w:pPr>
              <w:pStyle w:val="10"/>
              <w:rPr>
                <w:b/>
                <w:sz w:val="14"/>
              </w:rPr>
            </w:pPr>
          </w:p>
          <w:p>
            <w:pPr>
              <w:pStyle w:val="10"/>
              <w:spacing w:before="99" w:line="228" w:lineRule="auto"/>
              <w:ind w:left="390" w:right="367"/>
              <w:jc w:val="both"/>
              <w:rPr>
                <w:sz w:val="15"/>
              </w:rPr>
            </w:pPr>
            <w:r>
              <w:rPr>
                <w:sz w:val="15"/>
              </w:rPr>
              <w:t>效益指标</w:t>
            </w:r>
          </w:p>
        </w:tc>
        <w:tc>
          <w:tcPr>
            <w:tcW w:w="1694" w:type="dxa"/>
            <w:vMerge w:val="restart"/>
          </w:tcPr>
          <w:p>
            <w:pPr>
              <w:pStyle w:val="10"/>
              <w:spacing w:before="10"/>
              <w:rPr>
                <w:b/>
                <w:sz w:val="17"/>
              </w:rPr>
            </w:pPr>
          </w:p>
          <w:p>
            <w:pPr>
              <w:pStyle w:val="10"/>
              <w:spacing w:before="1" w:line="228" w:lineRule="auto"/>
              <w:ind w:left="703" w:right="486" w:hanging="149"/>
              <w:rPr>
                <w:sz w:val="15"/>
              </w:rPr>
            </w:pPr>
            <w:r>
              <w:rPr>
                <w:sz w:val="15"/>
              </w:rPr>
              <w:t>经济效益指标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spacing w:before="10"/>
              <w:rPr>
                <w:b/>
                <w:sz w:val="17"/>
              </w:rPr>
            </w:pPr>
          </w:p>
          <w:p>
            <w:pPr>
              <w:pStyle w:val="10"/>
              <w:spacing w:before="1" w:line="228" w:lineRule="auto"/>
              <w:ind w:left="703" w:right="486" w:hanging="149"/>
              <w:rPr>
                <w:sz w:val="15"/>
              </w:rPr>
            </w:pPr>
            <w:r>
              <w:rPr>
                <w:sz w:val="15"/>
              </w:rPr>
              <w:t>社会效益指标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restart"/>
          </w:tcPr>
          <w:p>
            <w:pPr>
              <w:pStyle w:val="10"/>
              <w:spacing w:before="10"/>
              <w:rPr>
                <w:b/>
                <w:sz w:val="17"/>
              </w:rPr>
            </w:pPr>
          </w:p>
          <w:p>
            <w:pPr>
              <w:pStyle w:val="10"/>
              <w:spacing w:line="228" w:lineRule="auto"/>
              <w:ind w:left="703" w:right="486" w:hanging="149"/>
              <w:rPr>
                <w:sz w:val="15"/>
              </w:rPr>
            </w:pPr>
            <w:r>
              <w:rPr>
                <w:sz w:val="15"/>
              </w:rPr>
              <w:t>生态效益指标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tcPr>
          <w:p>
            <w:pPr>
              <w:pStyle w:val="10"/>
              <w:spacing w:before="41"/>
              <w:ind w:left="531" w:right="507"/>
              <w:jc w:val="center"/>
              <w:rPr>
                <w:sz w:val="15"/>
              </w:rPr>
            </w:pPr>
            <w:r>
              <w:rPr>
                <w:sz w:val="15"/>
              </w:rPr>
              <w:t>……</w:t>
            </w:r>
          </w:p>
        </w:tc>
        <w:tc>
          <w:tcPr>
            <w:tcW w:w="984" w:type="dxa"/>
          </w:tcPr>
          <w:p>
            <w:pPr>
              <w:pStyle w:val="10"/>
              <w:rPr>
                <w:rFonts w:ascii="Times New Roman"/>
                <w:sz w:val="14"/>
              </w:rPr>
            </w:pP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restart"/>
          </w:tcPr>
          <w:p>
            <w:pPr>
              <w:pStyle w:val="10"/>
              <w:rPr>
                <w:b/>
                <w:sz w:val="14"/>
              </w:rPr>
            </w:pPr>
          </w:p>
          <w:p>
            <w:pPr>
              <w:pStyle w:val="10"/>
              <w:rPr>
                <w:b/>
                <w:sz w:val="14"/>
              </w:rPr>
            </w:pPr>
          </w:p>
          <w:p>
            <w:pPr>
              <w:pStyle w:val="10"/>
              <w:spacing w:before="90"/>
              <w:ind w:left="93"/>
              <w:rPr>
                <w:sz w:val="15"/>
              </w:rPr>
            </w:pPr>
            <w:r>
              <w:rPr>
                <w:sz w:val="15"/>
              </w:rPr>
              <w:t>满意度指标</w:t>
            </w:r>
          </w:p>
        </w:tc>
        <w:tc>
          <w:tcPr>
            <w:tcW w:w="1694" w:type="dxa"/>
            <w:vMerge w:val="restart"/>
          </w:tcPr>
          <w:p>
            <w:pPr>
              <w:pStyle w:val="10"/>
              <w:spacing w:before="10"/>
              <w:rPr>
                <w:b/>
                <w:sz w:val="17"/>
              </w:rPr>
            </w:pPr>
          </w:p>
          <w:p>
            <w:pPr>
              <w:pStyle w:val="10"/>
              <w:spacing w:before="1" w:line="228" w:lineRule="auto"/>
              <w:ind w:left="480" w:right="413" w:firstLine="74"/>
              <w:rPr>
                <w:sz w:val="15"/>
              </w:rPr>
            </w:pPr>
            <w:r>
              <w:rPr>
                <w:sz w:val="15"/>
              </w:rPr>
              <w:t>服务对象满意度指标</w:t>
            </w:r>
          </w:p>
        </w:tc>
        <w:tc>
          <w:tcPr>
            <w:tcW w:w="984" w:type="dxa"/>
          </w:tcPr>
          <w:p>
            <w:pPr>
              <w:pStyle w:val="10"/>
              <w:spacing w:before="41"/>
              <w:ind w:left="24"/>
              <w:rPr>
                <w:sz w:val="15"/>
              </w:rPr>
            </w:pPr>
            <w:r>
              <w:rPr>
                <w:w w:val="98"/>
                <w:sz w:val="15"/>
              </w:rPr>
              <w:t xml:space="preserve"> </w:t>
            </w:r>
            <w:r>
              <w:rPr>
                <w:sz w:val="15"/>
              </w:rPr>
              <w:t>指标1：</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指标2：</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984" w:type="dxa"/>
          </w:tcPr>
          <w:p>
            <w:pPr>
              <w:pStyle w:val="10"/>
              <w:spacing w:before="41"/>
              <w:ind w:left="24"/>
              <w:rPr>
                <w:sz w:val="15"/>
              </w:rPr>
            </w:pPr>
            <w:r>
              <w:rPr>
                <w:w w:val="98"/>
                <w:sz w:val="15"/>
              </w:rPr>
              <w:t xml:space="preserve"> </w:t>
            </w:r>
            <w:r>
              <w:rPr>
                <w:sz w:val="15"/>
              </w:rPr>
              <w:t>……</w:t>
            </w:r>
          </w:p>
        </w:tc>
        <w:tc>
          <w:tcPr>
            <w:tcW w:w="3192" w:type="dxa"/>
          </w:tcPr>
          <w:p>
            <w:pPr>
              <w:pStyle w:val="10"/>
              <w:rPr>
                <w:rFonts w:ascii="Times New Roman"/>
                <w:sz w:val="14"/>
              </w:rPr>
            </w:pPr>
          </w:p>
        </w:tc>
        <w:tc>
          <w:tcPr>
            <w:tcW w:w="907" w:type="dxa"/>
          </w:tcPr>
          <w:p>
            <w:pPr>
              <w:pStyle w:val="1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67" w:type="dxa"/>
            <w:vMerge w:val="continue"/>
            <w:tcBorders>
              <w:top w:val="nil"/>
            </w:tcBorders>
          </w:tcPr>
          <w:p>
            <w:pPr>
              <w:rPr>
                <w:sz w:val="2"/>
                <w:szCs w:val="2"/>
              </w:rPr>
            </w:pPr>
          </w:p>
        </w:tc>
        <w:tc>
          <w:tcPr>
            <w:tcW w:w="924" w:type="dxa"/>
            <w:vMerge w:val="continue"/>
            <w:tcBorders>
              <w:top w:val="nil"/>
            </w:tcBorders>
          </w:tcPr>
          <w:p>
            <w:pPr>
              <w:rPr>
                <w:sz w:val="2"/>
                <w:szCs w:val="2"/>
              </w:rPr>
            </w:pPr>
          </w:p>
        </w:tc>
        <w:tc>
          <w:tcPr>
            <w:tcW w:w="1694" w:type="dxa"/>
          </w:tcPr>
          <w:p>
            <w:pPr>
              <w:pStyle w:val="10"/>
              <w:spacing w:before="41"/>
              <w:ind w:left="531" w:right="507"/>
              <w:jc w:val="center"/>
              <w:rPr>
                <w:sz w:val="15"/>
              </w:rPr>
            </w:pPr>
            <w:r>
              <w:rPr>
                <w:sz w:val="15"/>
              </w:rPr>
              <w:t>……</w:t>
            </w:r>
          </w:p>
        </w:tc>
        <w:tc>
          <w:tcPr>
            <w:tcW w:w="984" w:type="dxa"/>
          </w:tcPr>
          <w:p>
            <w:pPr>
              <w:pStyle w:val="10"/>
              <w:rPr>
                <w:rFonts w:ascii="Times New Roman"/>
                <w:sz w:val="14"/>
              </w:rPr>
            </w:pPr>
          </w:p>
        </w:tc>
        <w:tc>
          <w:tcPr>
            <w:tcW w:w="3192" w:type="dxa"/>
          </w:tcPr>
          <w:p>
            <w:pPr>
              <w:pStyle w:val="10"/>
              <w:rPr>
                <w:rFonts w:ascii="Times New Roman"/>
                <w:sz w:val="14"/>
              </w:rPr>
            </w:pPr>
          </w:p>
        </w:tc>
        <w:tc>
          <w:tcPr>
            <w:tcW w:w="907" w:type="dxa"/>
          </w:tcPr>
          <w:p>
            <w:pPr>
              <w:pStyle w:val="10"/>
              <w:rPr>
                <w:rFonts w:ascii="Times New Roman"/>
                <w:sz w:val="14"/>
              </w:rPr>
            </w:pPr>
          </w:p>
        </w:tc>
      </w:tr>
    </w:tbl>
    <w:p>
      <w:pPr>
        <w:spacing w:after="0"/>
        <w:rPr>
          <w:rFonts w:ascii="Times New Roman"/>
          <w:sz w:val="14"/>
        </w:rPr>
        <w:sectPr>
          <w:type w:val="continuous"/>
          <w:pgSz w:w="11910" w:h="16840"/>
          <w:pgMar w:top="1580" w:right="1239" w:bottom="1400" w:left="1480" w:header="720" w:footer="720" w:gutter="0"/>
          <w:cols w:space="720" w:num="1"/>
        </w:sectPr>
      </w:pPr>
    </w:p>
    <w:p>
      <w:pPr>
        <w:pStyle w:val="4"/>
        <w:spacing w:before="12"/>
        <w:rPr>
          <w:b/>
          <w:sz w:val="27"/>
        </w:rPr>
      </w:pPr>
    </w:p>
    <w:p>
      <w:pPr>
        <w:spacing w:after="0"/>
        <w:rPr>
          <w:sz w:val="27"/>
        </w:rPr>
        <w:sectPr>
          <w:footerReference r:id="rId4" w:type="default"/>
          <w:pgSz w:w="16840" w:h="11910" w:orient="landscape"/>
          <w:pgMar w:top="1100" w:right="980" w:bottom="280" w:left="960" w:header="0" w:footer="0" w:gutter="0"/>
          <w:cols w:space="720" w:num="1"/>
        </w:sectPr>
      </w:pPr>
    </w:p>
    <w:p>
      <w:pPr>
        <w:spacing w:before="77"/>
        <w:ind w:right="0"/>
        <w:jc w:val="left"/>
        <w:rPr>
          <w:rFonts w:hint="eastAsia" w:ascii="黑体" w:eastAsia="黑体"/>
          <w:sz w:val="24"/>
          <w:szCs w:val="24"/>
        </w:rPr>
      </w:pPr>
      <w:bookmarkStart w:id="2" w:name="1485附件3.pdf"/>
      <w:bookmarkEnd w:id="2"/>
      <w:r>
        <w:rPr>
          <w:rFonts w:hint="eastAsia" w:ascii="黑体" w:eastAsia="黑体"/>
          <w:w w:val="105"/>
          <w:sz w:val="24"/>
          <w:szCs w:val="24"/>
        </w:rPr>
        <w:t>附件3</w:t>
      </w:r>
    </w:p>
    <w:p>
      <w:pPr>
        <w:pStyle w:val="4"/>
        <w:spacing w:before="9"/>
        <w:rPr>
          <w:rFonts w:ascii="黑体"/>
          <w:sz w:val="34"/>
        </w:rPr>
      </w:pPr>
      <w:r>
        <w:br w:type="column"/>
      </w:r>
    </w:p>
    <w:p>
      <w:pPr>
        <w:spacing w:before="0"/>
        <w:ind w:left="165" w:right="0" w:firstLine="0"/>
        <w:jc w:val="left"/>
        <w:rPr>
          <w:b/>
          <w:sz w:val="26"/>
        </w:rPr>
      </w:pPr>
      <w:r>
        <w:rPr>
          <w:b/>
          <w:sz w:val="26"/>
        </w:rPr>
        <w:t>地方政府专项债券项目支出绩效评价指标体系框架（参考）</w:t>
      </w:r>
    </w:p>
    <w:p>
      <w:pPr>
        <w:spacing w:after="0"/>
        <w:jc w:val="left"/>
        <w:rPr>
          <w:sz w:val="26"/>
        </w:rPr>
        <w:sectPr>
          <w:type w:val="continuous"/>
          <w:pgSz w:w="16840" w:h="11910" w:orient="landscape"/>
          <w:pgMar w:top="1580" w:right="980" w:bottom="1400" w:left="960" w:header="720" w:footer="720" w:gutter="0"/>
          <w:cols w:equalWidth="0" w:num="2">
            <w:col w:w="727" w:space="3085"/>
            <w:col w:w="11088"/>
          </w:cols>
        </w:sectPr>
      </w:pPr>
    </w:p>
    <w:tbl>
      <w:tblPr>
        <w:tblStyle w:val="7"/>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9"/>
        <w:gridCol w:w="799"/>
        <w:gridCol w:w="799"/>
        <w:gridCol w:w="3374"/>
        <w:gridCol w:w="8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trPr>
        <w:tc>
          <w:tcPr>
            <w:tcW w:w="799" w:type="dxa"/>
          </w:tcPr>
          <w:p>
            <w:pPr>
              <w:pStyle w:val="10"/>
              <w:spacing w:line="181" w:lineRule="exact"/>
              <w:ind w:left="60" w:right="38"/>
              <w:jc w:val="center"/>
              <w:rPr>
                <w:b/>
                <w:sz w:val="16"/>
              </w:rPr>
            </w:pPr>
            <w:r>
              <w:rPr>
                <w:b/>
                <w:sz w:val="16"/>
              </w:rPr>
              <w:t>一级指标</w:t>
            </w:r>
          </w:p>
        </w:tc>
        <w:tc>
          <w:tcPr>
            <w:tcW w:w="799" w:type="dxa"/>
          </w:tcPr>
          <w:p>
            <w:pPr>
              <w:pStyle w:val="10"/>
              <w:spacing w:line="181" w:lineRule="exact"/>
              <w:ind w:left="74"/>
              <w:rPr>
                <w:b/>
                <w:sz w:val="16"/>
              </w:rPr>
            </w:pPr>
            <w:r>
              <w:rPr>
                <w:b/>
                <w:sz w:val="16"/>
              </w:rPr>
              <w:t>二级指标</w:t>
            </w:r>
          </w:p>
        </w:tc>
        <w:tc>
          <w:tcPr>
            <w:tcW w:w="799" w:type="dxa"/>
          </w:tcPr>
          <w:p>
            <w:pPr>
              <w:pStyle w:val="10"/>
              <w:spacing w:line="181" w:lineRule="exact"/>
              <w:ind w:left="74"/>
              <w:rPr>
                <w:b/>
                <w:sz w:val="16"/>
              </w:rPr>
            </w:pPr>
            <w:r>
              <w:rPr>
                <w:b/>
                <w:sz w:val="16"/>
              </w:rPr>
              <w:t>三级指标</w:t>
            </w:r>
          </w:p>
        </w:tc>
        <w:tc>
          <w:tcPr>
            <w:tcW w:w="3374" w:type="dxa"/>
          </w:tcPr>
          <w:p>
            <w:pPr>
              <w:pStyle w:val="10"/>
              <w:spacing w:line="181" w:lineRule="exact"/>
              <w:ind w:left="1350" w:right="1325"/>
              <w:jc w:val="center"/>
              <w:rPr>
                <w:b/>
                <w:sz w:val="16"/>
              </w:rPr>
            </w:pPr>
            <w:r>
              <w:rPr>
                <w:b/>
                <w:sz w:val="16"/>
              </w:rPr>
              <w:t>指标解释</w:t>
            </w:r>
          </w:p>
        </w:tc>
        <w:tc>
          <w:tcPr>
            <w:tcW w:w="8880" w:type="dxa"/>
          </w:tcPr>
          <w:p>
            <w:pPr>
              <w:pStyle w:val="10"/>
              <w:spacing w:line="181" w:lineRule="exact"/>
              <w:ind w:left="4103" w:right="4078"/>
              <w:jc w:val="center"/>
              <w:rPr>
                <w:b/>
                <w:sz w:val="16"/>
              </w:rPr>
            </w:pPr>
            <w:r>
              <w:rPr>
                <w:b/>
                <w:sz w:val="16"/>
              </w:rPr>
              <w:t>指标说明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799" w:type="dxa"/>
            <w:tcBorders>
              <w:bottom w:val="nil"/>
            </w:tcBorders>
          </w:tcPr>
          <w:p>
            <w:pPr>
              <w:pStyle w:val="10"/>
              <w:rPr>
                <w:rFonts w:ascii="Times New Roman"/>
                <w:sz w:val="16"/>
              </w:rPr>
            </w:pPr>
          </w:p>
        </w:tc>
        <w:tc>
          <w:tcPr>
            <w:tcW w:w="799" w:type="dxa"/>
            <w:tcBorders>
              <w:bottom w:val="nil"/>
            </w:tcBorders>
          </w:tcPr>
          <w:p>
            <w:pPr>
              <w:pStyle w:val="10"/>
              <w:rPr>
                <w:b/>
                <w:sz w:val="16"/>
              </w:rPr>
            </w:pPr>
          </w:p>
          <w:p>
            <w:pPr>
              <w:pStyle w:val="10"/>
              <w:rPr>
                <w:b/>
                <w:sz w:val="16"/>
              </w:rPr>
            </w:pPr>
          </w:p>
          <w:p>
            <w:pPr>
              <w:pStyle w:val="10"/>
              <w:rPr>
                <w:b/>
                <w:sz w:val="16"/>
              </w:rPr>
            </w:pPr>
          </w:p>
          <w:p>
            <w:pPr>
              <w:pStyle w:val="10"/>
              <w:rPr>
                <w:b/>
                <w:sz w:val="16"/>
              </w:rPr>
            </w:pPr>
          </w:p>
          <w:p>
            <w:pPr>
              <w:pStyle w:val="10"/>
              <w:spacing w:before="140"/>
              <w:ind w:left="78"/>
              <w:rPr>
                <w:sz w:val="16"/>
              </w:rPr>
            </w:pPr>
            <w:r>
              <w:rPr>
                <w:sz w:val="16"/>
              </w:rPr>
              <w:t>项目立项</w:t>
            </w:r>
          </w:p>
        </w:tc>
        <w:tc>
          <w:tcPr>
            <w:tcW w:w="799" w:type="dxa"/>
          </w:tcPr>
          <w:p>
            <w:pPr>
              <w:pStyle w:val="10"/>
              <w:rPr>
                <w:b/>
                <w:sz w:val="16"/>
              </w:rPr>
            </w:pPr>
          </w:p>
          <w:p>
            <w:pPr>
              <w:pStyle w:val="10"/>
              <w:spacing w:before="11"/>
              <w:rPr>
                <w:b/>
                <w:sz w:val="17"/>
              </w:rPr>
            </w:pPr>
          </w:p>
          <w:p>
            <w:pPr>
              <w:pStyle w:val="10"/>
              <w:spacing w:line="232" w:lineRule="auto"/>
              <w:ind w:left="161" w:right="49" w:hanging="83"/>
              <w:rPr>
                <w:sz w:val="16"/>
              </w:rPr>
            </w:pPr>
            <w:r>
              <w:rPr>
                <w:sz w:val="16"/>
              </w:rPr>
              <w:t>立项依据充分性</w:t>
            </w:r>
          </w:p>
        </w:tc>
        <w:tc>
          <w:tcPr>
            <w:tcW w:w="3374" w:type="dxa"/>
          </w:tcPr>
          <w:p>
            <w:pPr>
              <w:pStyle w:val="10"/>
              <w:rPr>
                <w:b/>
                <w:sz w:val="16"/>
              </w:rPr>
            </w:pPr>
          </w:p>
          <w:p>
            <w:pPr>
              <w:pStyle w:val="10"/>
              <w:spacing w:before="127" w:line="235" w:lineRule="auto"/>
              <w:ind w:left="28" w:right="56"/>
              <w:jc w:val="both"/>
              <w:rPr>
                <w:sz w:val="16"/>
              </w:rPr>
            </w:pPr>
            <w:r>
              <w:rPr>
                <w:sz w:val="16"/>
              </w:rPr>
              <w:t>项目立项是否符合法律法规、相关政策、发展规划以及部门职责，用以反映和考核项目立项依据情况。</w:t>
            </w:r>
          </w:p>
        </w:tc>
        <w:tc>
          <w:tcPr>
            <w:tcW w:w="8880" w:type="dxa"/>
          </w:tcPr>
          <w:p>
            <w:pPr>
              <w:pStyle w:val="10"/>
              <w:spacing w:line="195" w:lineRule="exact"/>
              <w:ind w:left="29"/>
              <w:rPr>
                <w:sz w:val="16"/>
              </w:rPr>
            </w:pPr>
            <w:r>
              <w:rPr>
                <w:sz w:val="16"/>
              </w:rPr>
              <w:t>评价要点：</w:t>
            </w:r>
          </w:p>
          <w:p>
            <w:pPr>
              <w:pStyle w:val="10"/>
              <w:spacing w:before="11"/>
              <w:ind w:left="29"/>
              <w:rPr>
                <w:sz w:val="16"/>
              </w:rPr>
            </w:pPr>
            <w:r>
              <w:rPr>
                <w:sz w:val="16"/>
              </w:rPr>
              <w:t>①项目立项是否符合国家法律法规、国民经济发展规划和相关政策；</w:t>
            </w:r>
          </w:p>
          <w:p>
            <w:pPr>
              <w:pStyle w:val="10"/>
              <w:spacing w:before="10"/>
              <w:ind w:left="29"/>
              <w:rPr>
                <w:sz w:val="16"/>
              </w:rPr>
            </w:pPr>
            <w:r>
              <w:rPr>
                <w:sz w:val="16"/>
              </w:rPr>
              <w:t>②项目立项是否符合行业发展规划和政策要求；</w:t>
            </w:r>
          </w:p>
          <w:p>
            <w:pPr>
              <w:pStyle w:val="10"/>
              <w:spacing w:before="11"/>
              <w:ind w:left="29"/>
              <w:rPr>
                <w:sz w:val="16"/>
              </w:rPr>
            </w:pPr>
            <w:r>
              <w:rPr>
                <w:sz w:val="16"/>
              </w:rPr>
              <w:t>③项目立项是否与部门职责范围相符，属于部门履职所需；</w:t>
            </w:r>
          </w:p>
          <w:p>
            <w:pPr>
              <w:pStyle w:val="10"/>
              <w:spacing w:before="11"/>
              <w:ind w:left="29"/>
              <w:rPr>
                <w:sz w:val="16"/>
              </w:rPr>
            </w:pPr>
            <w:r>
              <w:rPr>
                <w:sz w:val="16"/>
              </w:rPr>
              <w:t>④项目是否属于政府投资项目，是否符合专项债券支持领域和方向；</w:t>
            </w:r>
          </w:p>
          <w:p>
            <w:pPr>
              <w:pStyle w:val="10"/>
              <w:spacing w:before="11" w:line="191" w:lineRule="exact"/>
              <w:ind w:left="29"/>
              <w:rPr>
                <w:sz w:val="16"/>
              </w:rPr>
            </w:pPr>
            <w:r>
              <w:rPr>
                <w:sz w:val="16"/>
              </w:rPr>
              <w:t>⑤项目是否与相关部门同类项目或部门内部相关项目重复。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799" w:type="dxa"/>
            <w:tcBorders>
              <w:top w:val="nil"/>
              <w:bottom w:val="nil"/>
            </w:tcBorders>
          </w:tcPr>
          <w:p>
            <w:pPr>
              <w:pStyle w:val="10"/>
              <w:rPr>
                <w:rFonts w:ascii="Times New Roman"/>
                <w:sz w:val="16"/>
              </w:rPr>
            </w:pPr>
          </w:p>
        </w:tc>
        <w:tc>
          <w:tcPr>
            <w:tcW w:w="799" w:type="dxa"/>
            <w:tcBorders>
              <w:top w:val="nil"/>
            </w:tcBorders>
          </w:tcPr>
          <w:p>
            <w:pPr>
              <w:pStyle w:val="10"/>
              <w:rPr>
                <w:rFonts w:ascii="Times New Roman"/>
                <w:sz w:val="16"/>
              </w:rPr>
            </w:pPr>
          </w:p>
        </w:tc>
        <w:tc>
          <w:tcPr>
            <w:tcW w:w="799" w:type="dxa"/>
          </w:tcPr>
          <w:p>
            <w:pPr>
              <w:pStyle w:val="10"/>
              <w:rPr>
                <w:b/>
                <w:sz w:val="17"/>
              </w:rPr>
            </w:pPr>
          </w:p>
          <w:p>
            <w:pPr>
              <w:pStyle w:val="10"/>
              <w:spacing w:line="232" w:lineRule="auto"/>
              <w:ind w:left="161" w:right="49" w:hanging="83"/>
              <w:rPr>
                <w:sz w:val="16"/>
              </w:rPr>
            </w:pPr>
            <w:r>
              <w:rPr>
                <w:sz w:val="16"/>
              </w:rPr>
              <w:t>立项程序规范性</w:t>
            </w:r>
          </w:p>
        </w:tc>
        <w:tc>
          <w:tcPr>
            <w:tcW w:w="3374" w:type="dxa"/>
          </w:tcPr>
          <w:p>
            <w:pPr>
              <w:pStyle w:val="10"/>
              <w:rPr>
                <w:b/>
                <w:sz w:val="17"/>
              </w:rPr>
            </w:pPr>
          </w:p>
          <w:p>
            <w:pPr>
              <w:pStyle w:val="10"/>
              <w:spacing w:line="232" w:lineRule="auto"/>
              <w:ind w:left="28" w:right="56"/>
              <w:rPr>
                <w:sz w:val="16"/>
              </w:rPr>
            </w:pPr>
            <w:r>
              <w:rPr>
                <w:sz w:val="16"/>
              </w:rPr>
              <w:t>项目申请、设立过程是否符合相关要求，用以反映和考核项目立项的规范情况。</w:t>
            </w:r>
          </w:p>
        </w:tc>
        <w:tc>
          <w:tcPr>
            <w:tcW w:w="8880" w:type="dxa"/>
          </w:tcPr>
          <w:p>
            <w:pPr>
              <w:pStyle w:val="10"/>
              <w:spacing w:line="193" w:lineRule="exact"/>
              <w:ind w:left="29"/>
              <w:rPr>
                <w:sz w:val="16"/>
              </w:rPr>
            </w:pPr>
            <w:r>
              <w:rPr>
                <w:sz w:val="16"/>
              </w:rPr>
              <w:t>评价要点：</w:t>
            </w:r>
          </w:p>
          <w:p>
            <w:pPr>
              <w:pStyle w:val="10"/>
              <w:spacing w:before="11"/>
              <w:ind w:left="29"/>
              <w:rPr>
                <w:sz w:val="16"/>
              </w:rPr>
            </w:pPr>
            <w:r>
              <w:rPr>
                <w:sz w:val="16"/>
              </w:rPr>
              <w:t>①项目是否按照规定的程序申请设立；</w:t>
            </w:r>
          </w:p>
          <w:p>
            <w:pPr>
              <w:pStyle w:val="10"/>
              <w:spacing w:before="11"/>
              <w:ind w:left="29"/>
              <w:rPr>
                <w:sz w:val="16"/>
              </w:rPr>
            </w:pPr>
            <w:r>
              <w:rPr>
                <w:sz w:val="16"/>
              </w:rPr>
              <w:t>②事前是否已经过必要的勘察、设计、可行性研究、专家论证、风险评估、绩效评估、集体决策；</w:t>
            </w:r>
          </w:p>
          <w:p>
            <w:pPr>
              <w:pStyle w:val="10"/>
              <w:spacing w:before="10" w:line="194" w:lineRule="exact"/>
              <w:ind w:left="29"/>
              <w:rPr>
                <w:sz w:val="16"/>
              </w:rPr>
            </w:pPr>
            <w:r>
              <w:rPr>
                <w:sz w:val="16"/>
              </w:rPr>
              <w:t>③项目立项、可研、用地、环评、开工许可等审批文件、材料是否符合相关要求。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799" w:type="dxa"/>
            <w:tcBorders>
              <w:top w:val="nil"/>
              <w:bottom w:val="nil"/>
            </w:tcBorders>
          </w:tcPr>
          <w:p>
            <w:pPr>
              <w:pStyle w:val="10"/>
              <w:rPr>
                <w:rFonts w:ascii="Times New Roman"/>
                <w:sz w:val="16"/>
              </w:rPr>
            </w:pPr>
          </w:p>
        </w:tc>
        <w:tc>
          <w:tcPr>
            <w:tcW w:w="799" w:type="dxa"/>
            <w:tcBorders>
              <w:bottom w:val="nil"/>
            </w:tcBorders>
          </w:tcPr>
          <w:p>
            <w:pPr>
              <w:pStyle w:val="10"/>
              <w:rPr>
                <w:rFonts w:ascii="Times New Roman"/>
                <w:sz w:val="16"/>
              </w:rPr>
            </w:pPr>
          </w:p>
        </w:tc>
        <w:tc>
          <w:tcPr>
            <w:tcW w:w="799" w:type="dxa"/>
            <w:tcBorders>
              <w:bottom w:val="nil"/>
            </w:tcBorders>
          </w:tcPr>
          <w:p>
            <w:pPr>
              <w:pStyle w:val="10"/>
              <w:rPr>
                <w:rFonts w:ascii="Times New Roman"/>
                <w:sz w:val="16"/>
              </w:rPr>
            </w:pPr>
          </w:p>
        </w:tc>
        <w:tc>
          <w:tcPr>
            <w:tcW w:w="3374" w:type="dxa"/>
            <w:tcBorders>
              <w:bottom w:val="nil"/>
            </w:tcBorders>
          </w:tcPr>
          <w:p>
            <w:pPr>
              <w:pStyle w:val="10"/>
              <w:rPr>
                <w:rFonts w:ascii="Times New Roman"/>
                <w:sz w:val="16"/>
              </w:rPr>
            </w:pPr>
          </w:p>
        </w:tc>
        <w:tc>
          <w:tcPr>
            <w:tcW w:w="8880" w:type="dxa"/>
            <w:tcBorders>
              <w:bottom w:val="nil"/>
            </w:tcBorders>
          </w:tcPr>
          <w:p>
            <w:pPr>
              <w:pStyle w:val="10"/>
              <w:spacing w:before="6"/>
              <w:ind w:left="29"/>
              <w:rPr>
                <w:sz w:val="16"/>
              </w:rPr>
            </w:pPr>
            <w:r>
              <w:rPr>
                <w:sz w:val="16"/>
              </w:rPr>
              <w:t>评价要点：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799" w:type="dxa"/>
            <w:tcBorders>
              <w:top w:val="nil"/>
              <w:bottom w:val="nil"/>
            </w:tcBorders>
          </w:tcPr>
          <w:p>
            <w:pPr>
              <w:pStyle w:val="10"/>
              <w:spacing w:before="96"/>
              <w:ind w:left="61" w:right="35"/>
              <w:jc w:val="center"/>
              <w:rPr>
                <w:sz w:val="16"/>
              </w:rPr>
            </w:pPr>
            <w:r>
              <w:rPr>
                <w:sz w:val="16"/>
              </w:rPr>
              <w:t>决策</w:t>
            </w:r>
          </w:p>
        </w:tc>
        <w:tc>
          <w:tcPr>
            <w:tcW w:w="799" w:type="dxa"/>
            <w:tcBorders>
              <w:top w:val="nil"/>
              <w:bottom w:val="nil"/>
            </w:tcBorders>
          </w:tcPr>
          <w:p>
            <w:pPr>
              <w:pStyle w:val="10"/>
              <w:rPr>
                <w:b/>
                <w:sz w:val="16"/>
              </w:rPr>
            </w:pPr>
          </w:p>
          <w:p>
            <w:pPr>
              <w:pStyle w:val="10"/>
              <w:rPr>
                <w:b/>
                <w:sz w:val="16"/>
              </w:rPr>
            </w:pPr>
          </w:p>
          <w:p>
            <w:pPr>
              <w:pStyle w:val="10"/>
              <w:spacing w:before="8"/>
              <w:rPr>
                <w:b/>
                <w:sz w:val="17"/>
              </w:rPr>
            </w:pPr>
          </w:p>
          <w:p>
            <w:pPr>
              <w:pStyle w:val="10"/>
              <w:spacing w:line="198" w:lineRule="exact"/>
              <w:ind w:left="78"/>
              <w:rPr>
                <w:sz w:val="16"/>
              </w:rPr>
            </w:pPr>
            <w:r>
              <w:rPr>
                <w:sz w:val="16"/>
              </w:rPr>
              <w:t>绩效目标</w:t>
            </w:r>
          </w:p>
        </w:tc>
        <w:tc>
          <w:tcPr>
            <w:tcW w:w="799" w:type="dxa"/>
            <w:tcBorders>
              <w:top w:val="nil"/>
            </w:tcBorders>
          </w:tcPr>
          <w:p>
            <w:pPr>
              <w:pStyle w:val="10"/>
              <w:spacing w:before="98" w:line="232" w:lineRule="auto"/>
              <w:ind w:left="161" w:right="49" w:hanging="83"/>
              <w:rPr>
                <w:sz w:val="16"/>
              </w:rPr>
            </w:pPr>
            <w:r>
              <w:rPr>
                <w:sz w:val="16"/>
              </w:rPr>
              <w:t>绩效目标合理性</w:t>
            </w:r>
          </w:p>
        </w:tc>
        <w:tc>
          <w:tcPr>
            <w:tcW w:w="3374" w:type="dxa"/>
            <w:tcBorders>
              <w:top w:val="nil"/>
            </w:tcBorders>
          </w:tcPr>
          <w:p>
            <w:pPr>
              <w:pStyle w:val="10"/>
              <w:spacing w:line="235" w:lineRule="auto"/>
              <w:ind w:left="28" w:right="56"/>
              <w:jc w:val="both"/>
              <w:rPr>
                <w:sz w:val="16"/>
              </w:rPr>
            </w:pPr>
            <w:r>
              <w:rPr>
                <w:sz w:val="16"/>
              </w:rPr>
              <w:t>项目所设定的绩效目标是否依据充分，是否符合客观实际，用以反映和考核项目绩效目标与项目实施的相符情况。</w:t>
            </w:r>
          </w:p>
        </w:tc>
        <w:tc>
          <w:tcPr>
            <w:tcW w:w="8880" w:type="dxa"/>
            <w:tcBorders>
              <w:top w:val="nil"/>
            </w:tcBorders>
          </w:tcPr>
          <w:p>
            <w:pPr>
              <w:pStyle w:val="10"/>
              <w:spacing w:line="198" w:lineRule="exact"/>
              <w:ind w:left="29"/>
              <w:rPr>
                <w:sz w:val="16"/>
              </w:rPr>
            </w:pPr>
            <w:r>
              <w:rPr>
                <w:sz w:val="16"/>
              </w:rPr>
              <w:t>①项目是否有绩效目标；</w:t>
            </w:r>
          </w:p>
          <w:p>
            <w:pPr>
              <w:pStyle w:val="10"/>
              <w:spacing w:before="10"/>
              <w:ind w:left="29"/>
              <w:rPr>
                <w:sz w:val="16"/>
              </w:rPr>
            </w:pPr>
            <w:r>
              <w:rPr>
                <w:sz w:val="16"/>
              </w:rPr>
              <w:t>②项目绩效目标与实际工作内容是否具有相关性；</w:t>
            </w:r>
          </w:p>
          <w:p>
            <w:pPr>
              <w:pStyle w:val="10"/>
              <w:spacing w:before="14"/>
              <w:ind w:left="29"/>
              <w:rPr>
                <w:sz w:val="16"/>
              </w:rPr>
            </w:pPr>
            <w:r>
              <w:rPr>
                <w:sz w:val="16"/>
              </w:rPr>
              <w:t>③项目预期产出效益和效果是否符合正常的业绩水平；</w:t>
            </w:r>
          </w:p>
          <w:p>
            <w:pPr>
              <w:pStyle w:val="10"/>
              <w:spacing w:before="11" w:line="190" w:lineRule="exact"/>
              <w:ind w:left="29"/>
              <w:rPr>
                <w:sz w:val="16"/>
              </w:rPr>
            </w:pPr>
            <w:r>
              <w:rPr>
                <w:sz w:val="16"/>
              </w:rPr>
              <w:t>④是否与项目投资额或资金量相匹配。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799" w:type="dxa"/>
            <w:tcBorders>
              <w:top w:val="nil"/>
              <w:bottom w:val="nil"/>
            </w:tcBorders>
          </w:tcPr>
          <w:p>
            <w:pPr>
              <w:pStyle w:val="10"/>
              <w:rPr>
                <w:rFonts w:ascii="Times New Roman"/>
                <w:sz w:val="16"/>
              </w:rPr>
            </w:pPr>
          </w:p>
        </w:tc>
        <w:tc>
          <w:tcPr>
            <w:tcW w:w="799" w:type="dxa"/>
            <w:tcBorders>
              <w:top w:val="nil"/>
            </w:tcBorders>
          </w:tcPr>
          <w:p>
            <w:pPr>
              <w:pStyle w:val="10"/>
              <w:rPr>
                <w:rFonts w:ascii="Times New Roman"/>
                <w:sz w:val="16"/>
              </w:rPr>
            </w:pPr>
          </w:p>
        </w:tc>
        <w:tc>
          <w:tcPr>
            <w:tcW w:w="799" w:type="dxa"/>
          </w:tcPr>
          <w:p>
            <w:pPr>
              <w:pStyle w:val="10"/>
              <w:spacing w:before="8"/>
              <w:rPr>
                <w:b/>
                <w:sz w:val="17"/>
              </w:rPr>
            </w:pPr>
          </w:p>
          <w:p>
            <w:pPr>
              <w:pStyle w:val="10"/>
              <w:spacing w:line="235" w:lineRule="auto"/>
              <w:ind w:left="161" w:right="49" w:hanging="83"/>
              <w:rPr>
                <w:sz w:val="16"/>
              </w:rPr>
            </w:pPr>
            <w:r>
              <w:rPr>
                <w:sz w:val="16"/>
              </w:rPr>
              <w:t>绩效指标明确性</w:t>
            </w:r>
          </w:p>
        </w:tc>
        <w:tc>
          <w:tcPr>
            <w:tcW w:w="3374" w:type="dxa"/>
          </w:tcPr>
          <w:p>
            <w:pPr>
              <w:pStyle w:val="10"/>
              <w:spacing w:before="122" w:line="203" w:lineRule="exact"/>
              <w:ind w:left="28"/>
              <w:rPr>
                <w:sz w:val="16"/>
              </w:rPr>
            </w:pPr>
            <w:r>
              <w:rPr>
                <w:sz w:val="16"/>
              </w:rPr>
              <w:t>依据绩效目标设定的绩效指标是否清晰、细化</w:t>
            </w:r>
          </w:p>
          <w:p>
            <w:pPr>
              <w:pStyle w:val="10"/>
              <w:spacing w:before="3" w:line="232" w:lineRule="auto"/>
              <w:ind w:left="28" w:right="57"/>
              <w:rPr>
                <w:sz w:val="16"/>
              </w:rPr>
            </w:pPr>
            <w:r>
              <w:rPr>
                <w:sz w:val="16"/>
              </w:rPr>
              <w:t>、可衡量等，用以反映和考核项目绩效目标的明细化情况。</w:t>
            </w:r>
          </w:p>
        </w:tc>
        <w:tc>
          <w:tcPr>
            <w:tcW w:w="8880" w:type="dxa"/>
          </w:tcPr>
          <w:p>
            <w:pPr>
              <w:pStyle w:val="10"/>
              <w:spacing w:line="204" w:lineRule="exact"/>
              <w:ind w:left="29"/>
              <w:rPr>
                <w:sz w:val="16"/>
              </w:rPr>
            </w:pPr>
            <w:r>
              <w:rPr>
                <w:sz w:val="16"/>
              </w:rPr>
              <w:t>评价要点：</w:t>
            </w:r>
          </w:p>
          <w:p>
            <w:pPr>
              <w:pStyle w:val="10"/>
              <w:spacing w:before="23"/>
              <w:ind w:left="29"/>
              <w:rPr>
                <w:sz w:val="16"/>
              </w:rPr>
            </w:pPr>
            <w:r>
              <w:rPr>
                <w:sz w:val="16"/>
              </w:rPr>
              <w:t>①是否将项目绩效目标细化分解为具体的绩效指标；</w:t>
            </w:r>
          </w:p>
          <w:p>
            <w:pPr>
              <w:pStyle w:val="10"/>
              <w:spacing w:before="11"/>
              <w:ind w:left="29"/>
              <w:rPr>
                <w:sz w:val="16"/>
              </w:rPr>
            </w:pPr>
            <w:r>
              <w:rPr>
                <w:sz w:val="16"/>
              </w:rPr>
              <w:t>②是否通过清晰、可衡量的指标值予以体现；</w:t>
            </w:r>
          </w:p>
          <w:p>
            <w:pPr>
              <w:pStyle w:val="10"/>
              <w:spacing w:before="11" w:line="191" w:lineRule="exact"/>
              <w:ind w:left="29"/>
              <w:rPr>
                <w:sz w:val="16"/>
              </w:rPr>
            </w:pPr>
            <w:r>
              <w:rPr>
                <w:sz w:val="16"/>
              </w:rPr>
              <w:t>③是否与项目目标任务数或计划数相对应。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799" w:type="dxa"/>
            <w:tcBorders>
              <w:top w:val="nil"/>
            </w:tcBorders>
          </w:tcPr>
          <w:p>
            <w:pPr>
              <w:pStyle w:val="10"/>
              <w:rPr>
                <w:rFonts w:ascii="Times New Roman"/>
                <w:sz w:val="16"/>
              </w:rPr>
            </w:pPr>
          </w:p>
        </w:tc>
        <w:tc>
          <w:tcPr>
            <w:tcW w:w="799" w:type="dxa"/>
          </w:tcPr>
          <w:p>
            <w:pPr>
              <w:pStyle w:val="10"/>
              <w:rPr>
                <w:b/>
                <w:sz w:val="16"/>
              </w:rPr>
            </w:pPr>
          </w:p>
          <w:p>
            <w:pPr>
              <w:pStyle w:val="10"/>
              <w:spacing w:before="12"/>
              <w:rPr>
                <w:b/>
                <w:sz w:val="16"/>
              </w:rPr>
            </w:pPr>
          </w:p>
          <w:p>
            <w:pPr>
              <w:pStyle w:val="10"/>
              <w:ind w:left="78"/>
              <w:rPr>
                <w:sz w:val="16"/>
              </w:rPr>
            </w:pPr>
            <w:r>
              <w:rPr>
                <w:sz w:val="16"/>
              </w:rPr>
              <w:t>资金投入</w:t>
            </w:r>
          </w:p>
        </w:tc>
        <w:tc>
          <w:tcPr>
            <w:tcW w:w="799" w:type="dxa"/>
          </w:tcPr>
          <w:p>
            <w:pPr>
              <w:pStyle w:val="10"/>
              <w:spacing w:before="6"/>
              <w:rPr>
                <w:b/>
                <w:sz w:val="17"/>
              </w:rPr>
            </w:pPr>
          </w:p>
          <w:p>
            <w:pPr>
              <w:pStyle w:val="10"/>
              <w:spacing w:line="235" w:lineRule="auto"/>
              <w:ind w:left="79" w:right="49"/>
              <w:jc w:val="both"/>
              <w:rPr>
                <w:sz w:val="16"/>
              </w:rPr>
            </w:pPr>
            <w:r>
              <w:rPr>
                <w:sz w:val="16"/>
              </w:rPr>
              <w:t>申请额度与需要的匹配性</w:t>
            </w:r>
          </w:p>
        </w:tc>
        <w:tc>
          <w:tcPr>
            <w:tcW w:w="3374" w:type="dxa"/>
          </w:tcPr>
          <w:p>
            <w:pPr>
              <w:pStyle w:val="10"/>
              <w:spacing w:before="122" w:line="235" w:lineRule="auto"/>
              <w:ind w:left="28" w:right="55"/>
              <w:jc w:val="both"/>
              <w:rPr>
                <w:sz w:val="16"/>
              </w:rPr>
            </w:pPr>
            <w:r>
              <w:rPr>
                <w:sz w:val="16"/>
              </w:rPr>
              <w:t>项目申请债券额度是否经过科学论证，年度发行债券数额与年度目标是否相适应，用以反映和考核项目申请债券额度的科学性、合理性情况。</w:t>
            </w:r>
          </w:p>
        </w:tc>
        <w:tc>
          <w:tcPr>
            <w:tcW w:w="8880" w:type="dxa"/>
          </w:tcPr>
          <w:p>
            <w:pPr>
              <w:pStyle w:val="10"/>
              <w:spacing w:line="195" w:lineRule="exact"/>
              <w:ind w:left="29"/>
              <w:rPr>
                <w:sz w:val="16"/>
              </w:rPr>
            </w:pPr>
            <w:r>
              <w:rPr>
                <w:sz w:val="16"/>
              </w:rPr>
              <w:t>评价要点：</w:t>
            </w:r>
          </w:p>
          <w:p>
            <w:pPr>
              <w:pStyle w:val="10"/>
              <w:spacing w:before="11"/>
              <w:ind w:left="29"/>
              <w:rPr>
                <w:sz w:val="16"/>
              </w:rPr>
            </w:pPr>
            <w:r>
              <w:rPr>
                <w:sz w:val="16"/>
              </w:rPr>
              <w:t>①申请使用债券资金是否经过科学论证；</w:t>
            </w:r>
          </w:p>
          <w:p>
            <w:pPr>
              <w:pStyle w:val="10"/>
              <w:spacing w:before="9"/>
              <w:ind w:left="29"/>
              <w:rPr>
                <w:sz w:val="16"/>
              </w:rPr>
            </w:pPr>
            <w:r>
              <w:rPr>
                <w:sz w:val="16"/>
              </w:rPr>
              <w:t>②申请使用债券资金与项目性质、内容是否合规、匹配；</w:t>
            </w:r>
          </w:p>
          <w:p>
            <w:pPr>
              <w:pStyle w:val="10"/>
              <w:spacing w:before="11"/>
              <w:ind w:left="29"/>
              <w:rPr>
                <w:sz w:val="16"/>
              </w:rPr>
            </w:pPr>
            <w:r>
              <w:rPr>
                <w:sz w:val="16"/>
              </w:rPr>
              <w:t>③申请债券额度测算依据是否充分，是否按照标准测算；</w:t>
            </w:r>
          </w:p>
          <w:p>
            <w:pPr>
              <w:pStyle w:val="10"/>
              <w:spacing w:before="10" w:line="194" w:lineRule="exact"/>
              <w:ind w:left="29"/>
              <w:rPr>
                <w:sz w:val="16"/>
              </w:rPr>
            </w:pPr>
            <w:r>
              <w:rPr>
                <w:sz w:val="16"/>
              </w:rPr>
              <w:t>④申请债券额度是否与工作任务相匹配。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99" w:type="dxa"/>
            <w:vMerge w:val="restart"/>
          </w:tcPr>
          <w:p>
            <w:pPr>
              <w:pStyle w:val="10"/>
              <w:rPr>
                <w:b/>
                <w:sz w:val="16"/>
              </w:rPr>
            </w:pPr>
          </w:p>
          <w:p>
            <w:pPr>
              <w:pStyle w:val="10"/>
              <w:rPr>
                <w:b/>
                <w:sz w:val="16"/>
              </w:rPr>
            </w:pPr>
          </w:p>
          <w:p>
            <w:pPr>
              <w:pStyle w:val="10"/>
              <w:rPr>
                <w:b/>
                <w:sz w:val="16"/>
              </w:rPr>
            </w:pPr>
          </w:p>
          <w:p>
            <w:pPr>
              <w:pStyle w:val="10"/>
              <w:rPr>
                <w:b/>
                <w:sz w:val="16"/>
              </w:rPr>
            </w:pPr>
          </w:p>
          <w:p>
            <w:pPr>
              <w:pStyle w:val="10"/>
              <w:rPr>
                <w:b/>
                <w:sz w:val="16"/>
              </w:rPr>
            </w:pPr>
          </w:p>
          <w:p>
            <w:pPr>
              <w:pStyle w:val="10"/>
              <w:spacing w:before="10"/>
              <w:rPr>
                <w:b/>
                <w:sz w:val="17"/>
              </w:rPr>
            </w:pPr>
          </w:p>
          <w:p>
            <w:pPr>
              <w:pStyle w:val="10"/>
              <w:ind w:left="201"/>
              <w:rPr>
                <w:sz w:val="16"/>
              </w:rPr>
            </w:pPr>
            <w:r>
              <w:rPr>
                <w:w w:val="101"/>
                <w:sz w:val="16"/>
              </w:rPr>
              <w:t xml:space="preserve"> </w:t>
            </w:r>
            <w:r>
              <w:rPr>
                <w:sz w:val="16"/>
              </w:rPr>
              <w:t>管理</w:t>
            </w:r>
          </w:p>
        </w:tc>
        <w:tc>
          <w:tcPr>
            <w:tcW w:w="799" w:type="dxa"/>
          </w:tcPr>
          <w:p>
            <w:pPr>
              <w:pStyle w:val="10"/>
              <w:spacing w:before="1"/>
              <w:rPr>
                <w:b/>
                <w:sz w:val="15"/>
              </w:rPr>
            </w:pPr>
          </w:p>
          <w:p>
            <w:pPr>
              <w:pStyle w:val="10"/>
              <w:ind w:left="78"/>
              <w:rPr>
                <w:sz w:val="16"/>
              </w:rPr>
            </w:pPr>
            <w:r>
              <w:rPr>
                <w:sz w:val="16"/>
              </w:rPr>
              <w:t>预算管理</w:t>
            </w:r>
          </w:p>
        </w:tc>
        <w:tc>
          <w:tcPr>
            <w:tcW w:w="799" w:type="dxa"/>
          </w:tcPr>
          <w:p>
            <w:pPr>
              <w:pStyle w:val="10"/>
              <w:spacing w:before="95" w:line="237" w:lineRule="auto"/>
              <w:ind w:left="324" w:right="49" w:hanging="245"/>
              <w:rPr>
                <w:sz w:val="16"/>
              </w:rPr>
            </w:pPr>
            <w:r>
              <w:rPr>
                <w:sz w:val="16"/>
              </w:rPr>
              <w:t>预算覆盖率</w:t>
            </w:r>
          </w:p>
        </w:tc>
        <w:tc>
          <w:tcPr>
            <w:tcW w:w="3374" w:type="dxa"/>
          </w:tcPr>
          <w:p>
            <w:pPr>
              <w:pStyle w:val="10"/>
              <w:spacing w:before="95" w:line="237" w:lineRule="auto"/>
              <w:ind w:left="28" w:right="57"/>
              <w:rPr>
                <w:sz w:val="16"/>
              </w:rPr>
            </w:pPr>
            <w:r>
              <w:rPr>
                <w:sz w:val="16"/>
              </w:rPr>
              <w:t>专项债券收支、还本付息及专项收入纳入政府性基金预算管理情况。</w:t>
            </w:r>
          </w:p>
        </w:tc>
        <w:tc>
          <w:tcPr>
            <w:tcW w:w="8880" w:type="dxa"/>
          </w:tcPr>
          <w:p>
            <w:pPr>
              <w:pStyle w:val="10"/>
              <w:spacing w:before="1"/>
              <w:rPr>
                <w:b/>
                <w:sz w:val="15"/>
              </w:rPr>
            </w:pPr>
          </w:p>
          <w:p>
            <w:pPr>
              <w:pStyle w:val="10"/>
              <w:ind w:left="29"/>
              <w:rPr>
                <w:sz w:val="16"/>
              </w:rPr>
            </w:pPr>
            <w:r>
              <w:rPr>
                <w:sz w:val="16"/>
              </w:rPr>
              <w:t>预算覆盖率=（纳入政府性基金预算管理资金/全部应纳入政府性基金预算管理资金）×100%。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799" w:type="dxa"/>
            <w:vMerge w:val="continue"/>
            <w:tcBorders>
              <w:top w:val="nil"/>
            </w:tcBorders>
          </w:tcPr>
          <w:p>
            <w:pPr>
              <w:rPr>
                <w:sz w:val="2"/>
                <w:szCs w:val="2"/>
              </w:rPr>
            </w:pPr>
          </w:p>
        </w:tc>
        <w:tc>
          <w:tcPr>
            <w:tcW w:w="799" w:type="dxa"/>
            <w:vMerge w:val="restart"/>
          </w:tcPr>
          <w:p>
            <w:pPr>
              <w:pStyle w:val="10"/>
              <w:rPr>
                <w:b/>
                <w:sz w:val="16"/>
              </w:rPr>
            </w:pPr>
          </w:p>
          <w:p>
            <w:pPr>
              <w:pStyle w:val="10"/>
              <w:rPr>
                <w:b/>
                <w:sz w:val="16"/>
              </w:rPr>
            </w:pPr>
          </w:p>
          <w:p>
            <w:pPr>
              <w:pStyle w:val="10"/>
              <w:rPr>
                <w:b/>
                <w:sz w:val="16"/>
              </w:rPr>
            </w:pPr>
          </w:p>
          <w:p>
            <w:pPr>
              <w:pStyle w:val="10"/>
              <w:spacing w:before="119"/>
              <w:ind w:left="78"/>
              <w:rPr>
                <w:sz w:val="16"/>
              </w:rPr>
            </w:pPr>
            <w:r>
              <w:rPr>
                <w:sz w:val="16"/>
              </w:rPr>
              <w:t>资金管理</w:t>
            </w:r>
          </w:p>
        </w:tc>
        <w:tc>
          <w:tcPr>
            <w:tcW w:w="799" w:type="dxa"/>
          </w:tcPr>
          <w:p>
            <w:pPr>
              <w:pStyle w:val="10"/>
              <w:rPr>
                <w:b/>
                <w:sz w:val="16"/>
              </w:rPr>
            </w:pPr>
          </w:p>
          <w:p>
            <w:pPr>
              <w:pStyle w:val="10"/>
              <w:spacing w:before="121" w:line="232" w:lineRule="auto"/>
              <w:ind w:left="161" w:right="49" w:hanging="83"/>
              <w:rPr>
                <w:sz w:val="16"/>
              </w:rPr>
            </w:pPr>
            <w:r>
              <w:rPr>
                <w:sz w:val="16"/>
              </w:rPr>
              <w:t>资金使用合规性</w:t>
            </w:r>
          </w:p>
        </w:tc>
        <w:tc>
          <w:tcPr>
            <w:tcW w:w="3374" w:type="dxa"/>
          </w:tcPr>
          <w:p>
            <w:pPr>
              <w:pStyle w:val="10"/>
              <w:spacing w:before="5"/>
              <w:rPr>
                <w:b/>
                <w:sz w:val="17"/>
              </w:rPr>
            </w:pPr>
          </w:p>
          <w:p>
            <w:pPr>
              <w:pStyle w:val="10"/>
              <w:spacing w:line="235" w:lineRule="auto"/>
              <w:ind w:left="28" w:right="55"/>
              <w:jc w:val="both"/>
              <w:rPr>
                <w:sz w:val="16"/>
              </w:rPr>
            </w:pPr>
            <w:r>
              <w:rPr>
                <w:sz w:val="16"/>
              </w:rPr>
              <w:t>项目资金使用是否按规定用途使用，是否符合相关的财务管理制度规定，用以反映和考核项目资金的规范运行情况。</w:t>
            </w:r>
          </w:p>
        </w:tc>
        <w:tc>
          <w:tcPr>
            <w:tcW w:w="8880" w:type="dxa"/>
          </w:tcPr>
          <w:p>
            <w:pPr>
              <w:pStyle w:val="10"/>
              <w:spacing w:line="195" w:lineRule="exact"/>
              <w:ind w:left="29"/>
              <w:rPr>
                <w:sz w:val="16"/>
              </w:rPr>
            </w:pPr>
            <w:r>
              <w:rPr>
                <w:sz w:val="16"/>
              </w:rPr>
              <w:t>评价要点：</w:t>
            </w:r>
          </w:p>
          <w:p>
            <w:pPr>
              <w:pStyle w:val="10"/>
              <w:spacing w:before="9"/>
              <w:ind w:left="29"/>
              <w:rPr>
                <w:sz w:val="16"/>
              </w:rPr>
            </w:pPr>
            <w:r>
              <w:rPr>
                <w:sz w:val="16"/>
              </w:rPr>
              <w:t>①是否符合国家财经法规和财务管理制度以及有关专项资金管理的文件规定；</w:t>
            </w:r>
          </w:p>
          <w:p>
            <w:pPr>
              <w:pStyle w:val="10"/>
              <w:spacing w:before="11"/>
              <w:ind w:left="29"/>
              <w:rPr>
                <w:sz w:val="16"/>
              </w:rPr>
            </w:pPr>
            <w:r>
              <w:rPr>
                <w:sz w:val="16"/>
              </w:rPr>
              <w:t>②资金的拨付是否有完整的审批程序和手续；</w:t>
            </w:r>
          </w:p>
          <w:p>
            <w:pPr>
              <w:pStyle w:val="10"/>
              <w:spacing w:before="11"/>
              <w:ind w:left="29"/>
              <w:rPr>
                <w:sz w:val="16"/>
              </w:rPr>
            </w:pPr>
            <w:r>
              <w:rPr>
                <w:sz w:val="16"/>
              </w:rPr>
              <w:t>③是否符合专项债券投向的规定及项目有关批复规定的用途；</w:t>
            </w:r>
          </w:p>
          <w:p>
            <w:pPr>
              <w:pStyle w:val="10"/>
              <w:spacing w:before="10" w:line="194" w:lineRule="exact"/>
              <w:ind w:left="29"/>
              <w:rPr>
                <w:sz w:val="16"/>
              </w:rPr>
            </w:pPr>
            <w:r>
              <w:rPr>
                <w:sz w:val="16"/>
              </w:rPr>
              <w:t>④是否存在截留、挤占、挪用等情况。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 w:hRule="atLeast"/>
        </w:trPr>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799" w:type="dxa"/>
            <w:vMerge w:val="restart"/>
          </w:tcPr>
          <w:p>
            <w:pPr>
              <w:pStyle w:val="10"/>
              <w:spacing w:before="96" w:line="235" w:lineRule="auto"/>
              <w:ind w:left="242" w:right="49" w:hanging="164"/>
              <w:rPr>
                <w:sz w:val="16"/>
              </w:rPr>
            </w:pPr>
            <w:r>
              <w:rPr>
                <w:sz w:val="16"/>
              </w:rPr>
              <w:t>资金支出进度</w:t>
            </w:r>
          </w:p>
        </w:tc>
        <w:tc>
          <w:tcPr>
            <w:tcW w:w="3374" w:type="dxa"/>
          </w:tcPr>
          <w:p>
            <w:pPr>
              <w:pStyle w:val="10"/>
              <w:spacing w:line="181" w:lineRule="exact"/>
              <w:ind w:left="28"/>
              <w:rPr>
                <w:sz w:val="16"/>
              </w:rPr>
            </w:pPr>
            <w:r>
              <w:rPr>
                <w:sz w:val="16"/>
              </w:rPr>
              <w:t>资金支出进度情况。</w:t>
            </w:r>
          </w:p>
        </w:tc>
        <w:tc>
          <w:tcPr>
            <w:tcW w:w="8880" w:type="dxa"/>
          </w:tcPr>
          <w:p>
            <w:pPr>
              <w:pStyle w:val="10"/>
              <w:spacing w:line="181" w:lineRule="exact"/>
              <w:ind w:left="29"/>
              <w:rPr>
                <w:sz w:val="16"/>
              </w:rPr>
            </w:pPr>
            <w:r>
              <w:rPr>
                <w:sz w:val="16"/>
              </w:rPr>
              <w:t>资金支出进度=（实际支出债券资金/项目债券资金总额）×100%。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3374" w:type="dxa"/>
          </w:tcPr>
          <w:p>
            <w:pPr>
              <w:pStyle w:val="10"/>
              <w:spacing w:line="189" w:lineRule="exact"/>
              <w:ind w:left="28"/>
              <w:rPr>
                <w:sz w:val="16"/>
              </w:rPr>
            </w:pPr>
            <w:r>
              <w:rPr>
                <w:sz w:val="16"/>
              </w:rPr>
              <w:t>资金拨付和支出进度与项目建设进度匹配情况</w:t>
            </w:r>
          </w:p>
          <w:p>
            <w:pPr>
              <w:pStyle w:val="10"/>
              <w:spacing w:line="187" w:lineRule="exact"/>
              <w:ind w:left="28"/>
              <w:rPr>
                <w:sz w:val="16"/>
              </w:rPr>
            </w:pPr>
            <w:r>
              <w:rPr>
                <w:w w:val="101"/>
                <w:sz w:val="16"/>
              </w:rPr>
              <w:t>。</w:t>
            </w:r>
          </w:p>
        </w:tc>
        <w:tc>
          <w:tcPr>
            <w:tcW w:w="8880" w:type="dxa"/>
          </w:tcPr>
          <w:p>
            <w:pPr>
              <w:pStyle w:val="10"/>
              <w:spacing w:before="86"/>
              <w:ind w:left="29"/>
              <w:rPr>
                <w:sz w:val="16"/>
              </w:rPr>
            </w:pPr>
            <w:r>
              <w:rPr>
                <w:sz w:val="16"/>
              </w:rPr>
              <w:t>评价要点：按项目建设进度拨款情况。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99" w:type="dxa"/>
            <w:vMerge w:val="continue"/>
            <w:tcBorders>
              <w:top w:val="nil"/>
            </w:tcBorders>
          </w:tcPr>
          <w:p>
            <w:pPr>
              <w:rPr>
                <w:sz w:val="2"/>
                <w:szCs w:val="2"/>
              </w:rPr>
            </w:pPr>
          </w:p>
        </w:tc>
        <w:tc>
          <w:tcPr>
            <w:tcW w:w="799" w:type="dxa"/>
          </w:tcPr>
          <w:p>
            <w:pPr>
              <w:pStyle w:val="10"/>
              <w:spacing w:before="86"/>
              <w:ind w:left="28"/>
              <w:rPr>
                <w:sz w:val="16"/>
              </w:rPr>
            </w:pPr>
            <w:r>
              <w:rPr>
                <w:sz w:val="16"/>
              </w:rPr>
              <w:t>资产管理</w:t>
            </w:r>
          </w:p>
        </w:tc>
        <w:tc>
          <w:tcPr>
            <w:tcW w:w="799" w:type="dxa"/>
          </w:tcPr>
          <w:p>
            <w:pPr>
              <w:pStyle w:val="10"/>
              <w:spacing w:line="189" w:lineRule="exact"/>
              <w:ind w:left="79"/>
              <w:rPr>
                <w:sz w:val="16"/>
              </w:rPr>
            </w:pPr>
            <w:r>
              <w:rPr>
                <w:sz w:val="16"/>
              </w:rPr>
              <w:t>资产管理</w:t>
            </w:r>
          </w:p>
          <w:p>
            <w:pPr>
              <w:pStyle w:val="10"/>
              <w:spacing w:line="187" w:lineRule="exact"/>
              <w:ind w:left="161"/>
              <w:rPr>
                <w:sz w:val="16"/>
              </w:rPr>
            </w:pPr>
            <w:r>
              <w:rPr>
                <w:sz w:val="16"/>
              </w:rPr>
              <w:t>合规性</w:t>
            </w:r>
          </w:p>
        </w:tc>
        <w:tc>
          <w:tcPr>
            <w:tcW w:w="3374" w:type="dxa"/>
          </w:tcPr>
          <w:p>
            <w:pPr>
              <w:pStyle w:val="10"/>
              <w:spacing w:before="86"/>
              <w:ind w:left="28"/>
              <w:rPr>
                <w:sz w:val="16"/>
              </w:rPr>
            </w:pPr>
            <w:r>
              <w:rPr>
                <w:sz w:val="16"/>
              </w:rPr>
              <w:t>项目竣工后资产备案和产权登记情况。</w:t>
            </w:r>
          </w:p>
        </w:tc>
        <w:tc>
          <w:tcPr>
            <w:tcW w:w="8880" w:type="dxa"/>
          </w:tcPr>
          <w:p>
            <w:pPr>
              <w:pStyle w:val="10"/>
              <w:spacing w:before="86"/>
              <w:ind w:left="29"/>
              <w:rPr>
                <w:sz w:val="16"/>
              </w:rPr>
            </w:pPr>
            <w:r>
              <w:rPr>
                <w:sz w:val="16"/>
              </w:rPr>
              <w:t>评价要点：是否按相关规定履行项目竣工后资产备案和产权登记。</w:t>
            </w:r>
          </w:p>
        </w:tc>
      </w:tr>
    </w:tbl>
    <w:p>
      <w:pPr>
        <w:spacing w:before="111"/>
        <w:ind w:left="4045" w:right="4025" w:firstLine="0"/>
        <w:jc w:val="center"/>
        <w:rPr>
          <w:sz w:val="28"/>
        </w:rPr>
      </w:pPr>
      <w:r>
        <w:rPr>
          <w:sz w:val="28"/>
        </w:rPr>
        <w:t>-15-</w:t>
      </w:r>
    </w:p>
    <w:p>
      <w:pPr>
        <w:spacing w:after="0"/>
        <w:jc w:val="center"/>
        <w:rPr>
          <w:sz w:val="28"/>
        </w:rPr>
        <w:sectPr>
          <w:type w:val="continuous"/>
          <w:pgSz w:w="16840" w:h="11910" w:orient="landscape"/>
          <w:pgMar w:top="1580" w:right="980" w:bottom="1400" w:left="960" w:header="720" w:footer="720" w:gutter="0"/>
          <w:cols w:space="720" w:num="1"/>
        </w:sectPr>
      </w:pPr>
    </w:p>
    <w:p>
      <w:pPr>
        <w:pStyle w:val="4"/>
        <w:spacing w:before="10"/>
        <w:rPr>
          <w:sz w:val="20"/>
        </w:rPr>
      </w:pPr>
    </w:p>
    <w:p>
      <w:pPr>
        <w:spacing w:before="68"/>
        <w:ind w:left="4045" w:right="4027" w:firstLine="0"/>
        <w:jc w:val="center"/>
        <w:rPr>
          <w:b/>
          <w:sz w:val="26"/>
        </w:rPr>
      </w:pPr>
      <w:r>
        <w:rPr>
          <w:b/>
          <w:sz w:val="26"/>
        </w:rPr>
        <w:t>地方政府专项债券项目支出绩效评价指标体系框架（参考）</w:t>
      </w:r>
    </w:p>
    <w:tbl>
      <w:tblPr>
        <w:tblStyle w:val="7"/>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9"/>
        <w:gridCol w:w="799"/>
        <w:gridCol w:w="799"/>
        <w:gridCol w:w="3374"/>
        <w:gridCol w:w="8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trPr>
        <w:tc>
          <w:tcPr>
            <w:tcW w:w="799" w:type="dxa"/>
          </w:tcPr>
          <w:p>
            <w:pPr>
              <w:pStyle w:val="10"/>
              <w:spacing w:line="181" w:lineRule="exact"/>
              <w:ind w:left="74"/>
              <w:rPr>
                <w:b/>
                <w:sz w:val="16"/>
              </w:rPr>
            </w:pPr>
            <w:r>
              <w:rPr>
                <w:b/>
                <w:sz w:val="16"/>
              </w:rPr>
              <w:t>一级指标</w:t>
            </w:r>
          </w:p>
        </w:tc>
        <w:tc>
          <w:tcPr>
            <w:tcW w:w="799" w:type="dxa"/>
          </w:tcPr>
          <w:p>
            <w:pPr>
              <w:pStyle w:val="10"/>
              <w:spacing w:line="181" w:lineRule="exact"/>
              <w:ind w:left="74"/>
              <w:rPr>
                <w:b/>
                <w:sz w:val="16"/>
              </w:rPr>
            </w:pPr>
            <w:r>
              <w:rPr>
                <w:b/>
                <w:sz w:val="16"/>
              </w:rPr>
              <w:t>二级指标</w:t>
            </w:r>
          </w:p>
        </w:tc>
        <w:tc>
          <w:tcPr>
            <w:tcW w:w="799" w:type="dxa"/>
          </w:tcPr>
          <w:p>
            <w:pPr>
              <w:pStyle w:val="10"/>
              <w:spacing w:line="181" w:lineRule="exact"/>
              <w:ind w:left="61" w:right="38"/>
              <w:jc w:val="center"/>
              <w:rPr>
                <w:b/>
                <w:sz w:val="16"/>
              </w:rPr>
            </w:pPr>
            <w:r>
              <w:rPr>
                <w:b/>
                <w:sz w:val="16"/>
              </w:rPr>
              <w:t>三级指标</w:t>
            </w:r>
          </w:p>
        </w:tc>
        <w:tc>
          <w:tcPr>
            <w:tcW w:w="3374" w:type="dxa"/>
          </w:tcPr>
          <w:p>
            <w:pPr>
              <w:pStyle w:val="10"/>
              <w:spacing w:line="181" w:lineRule="exact"/>
              <w:ind w:left="1350" w:right="1325"/>
              <w:jc w:val="center"/>
              <w:rPr>
                <w:b/>
                <w:sz w:val="16"/>
              </w:rPr>
            </w:pPr>
            <w:r>
              <w:rPr>
                <w:b/>
                <w:sz w:val="16"/>
              </w:rPr>
              <w:t>指标解释</w:t>
            </w:r>
          </w:p>
        </w:tc>
        <w:tc>
          <w:tcPr>
            <w:tcW w:w="8880" w:type="dxa"/>
          </w:tcPr>
          <w:p>
            <w:pPr>
              <w:pStyle w:val="10"/>
              <w:spacing w:line="181" w:lineRule="exact"/>
              <w:ind w:left="4103" w:right="4078"/>
              <w:jc w:val="center"/>
              <w:rPr>
                <w:b/>
                <w:sz w:val="16"/>
              </w:rPr>
            </w:pPr>
            <w:r>
              <w:rPr>
                <w:b/>
                <w:sz w:val="16"/>
              </w:rPr>
              <w:t>指标说明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799" w:type="dxa"/>
            <w:vMerge w:val="restart"/>
          </w:tcPr>
          <w:p>
            <w:pPr>
              <w:pStyle w:val="10"/>
              <w:rPr>
                <w:b/>
                <w:sz w:val="16"/>
              </w:rPr>
            </w:pPr>
          </w:p>
          <w:p>
            <w:pPr>
              <w:pStyle w:val="10"/>
              <w:rPr>
                <w:b/>
                <w:sz w:val="16"/>
              </w:rPr>
            </w:pPr>
          </w:p>
          <w:p>
            <w:pPr>
              <w:pStyle w:val="10"/>
              <w:rPr>
                <w:b/>
                <w:sz w:val="16"/>
              </w:rPr>
            </w:pPr>
          </w:p>
          <w:p>
            <w:pPr>
              <w:pStyle w:val="10"/>
              <w:rPr>
                <w:b/>
                <w:sz w:val="16"/>
              </w:rPr>
            </w:pPr>
          </w:p>
          <w:p>
            <w:pPr>
              <w:pStyle w:val="10"/>
              <w:spacing w:before="139"/>
              <w:ind w:left="242"/>
              <w:rPr>
                <w:sz w:val="16"/>
              </w:rPr>
            </w:pPr>
            <w:r>
              <w:rPr>
                <w:sz w:val="16"/>
              </w:rPr>
              <w:t>管理</w:t>
            </w:r>
          </w:p>
        </w:tc>
        <w:tc>
          <w:tcPr>
            <w:tcW w:w="799" w:type="dxa"/>
            <w:vMerge w:val="restart"/>
          </w:tcPr>
          <w:p>
            <w:pPr>
              <w:pStyle w:val="10"/>
              <w:rPr>
                <w:b/>
                <w:sz w:val="16"/>
              </w:rPr>
            </w:pPr>
          </w:p>
          <w:p>
            <w:pPr>
              <w:pStyle w:val="10"/>
              <w:rPr>
                <w:b/>
                <w:sz w:val="16"/>
              </w:rPr>
            </w:pPr>
          </w:p>
          <w:p>
            <w:pPr>
              <w:pStyle w:val="10"/>
              <w:rPr>
                <w:b/>
                <w:sz w:val="16"/>
              </w:rPr>
            </w:pPr>
          </w:p>
          <w:p>
            <w:pPr>
              <w:pStyle w:val="10"/>
              <w:rPr>
                <w:b/>
                <w:sz w:val="16"/>
              </w:rPr>
            </w:pPr>
          </w:p>
          <w:p>
            <w:pPr>
              <w:pStyle w:val="10"/>
              <w:spacing w:before="139"/>
              <w:ind w:left="78"/>
              <w:rPr>
                <w:sz w:val="16"/>
              </w:rPr>
            </w:pPr>
            <w:r>
              <w:rPr>
                <w:sz w:val="16"/>
              </w:rPr>
              <w:t>组织实施</w:t>
            </w:r>
          </w:p>
        </w:tc>
        <w:tc>
          <w:tcPr>
            <w:tcW w:w="799" w:type="dxa"/>
            <w:vMerge w:val="restart"/>
          </w:tcPr>
          <w:p>
            <w:pPr>
              <w:pStyle w:val="10"/>
              <w:rPr>
                <w:b/>
                <w:sz w:val="16"/>
              </w:rPr>
            </w:pPr>
          </w:p>
          <w:p>
            <w:pPr>
              <w:pStyle w:val="10"/>
              <w:rPr>
                <w:b/>
                <w:sz w:val="16"/>
              </w:rPr>
            </w:pPr>
          </w:p>
          <w:p>
            <w:pPr>
              <w:pStyle w:val="10"/>
              <w:rPr>
                <w:b/>
                <w:sz w:val="16"/>
              </w:rPr>
            </w:pPr>
          </w:p>
          <w:p>
            <w:pPr>
              <w:pStyle w:val="10"/>
              <w:spacing w:before="7"/>
              <w:rPr>
                <w:b/>
                <w:sz w:val="19"/>
              </w:rPr>
            </w:pPr>
          </w:p>
          <w:p>
            <w:pPr>
              <w:pStyle w:val="10"/>
              <w:spacing w:line="232" w:lineRule="auto"/>
              <w:ind w:left="161" w:right="49" w:hanging="83"/>
              <w:rPr>
                <w:sz w:val="16"/>
              </w:rPr>
            </w:pPr>
            <w:r>
              <w:rPr>
                <w:sz w:val="16"/>
              </w:rPr>
              <w:t>项目实施规范性</w:t>
            </w:r>
          </w:p>
        </w:tc>
        <w:tc>
          <w:tcPr>
            <w:tcW w:w="3374" w:type="dxa"/>
          </w:tcPr>
          <w:p>
            <w:pPr>
              <w:pStyle w:val="10"/>
              <w:rPr>
                <w:b/>
                <w:sz w:val="16"/>
              </w:rPr>
            </w:pPr>
          </w:p>
          <w:p>
            <w:pPr>
              <w:pStyle w:val="10"/>
              <w:spacing w:before="121" w:line="232" w:lineRule="auto"/>
              <w:ind w:left="28" w:right="57"/>
              <w:rPr>
                <w:sz w:val="16"/>
              </w:rPr>
            </w:pPr>
            <w:r>
              <w:rPr>
                <w:sz w:val="16"/>
              </w:rPr>
              <w:t>按计划还本付息执行情况及项目年度收支平衡情况等。</w:t>
            </w:r>
          </w:p>
        </w:tc>
        <w:tc>
          <w:tcPr>
            <w:tcW w:w="8880" w:type="dxa"/>
          </w:tcPr>
          <w:p>
            <w:pPr>
              <w:pStyle w:val="10"/>
              <w:spacing w:line="195" w:lineRule="exact"/>
              <w:ind w:left="29"/>
              <w:rPr>
                <w:sz w:val="16"/>
              </w:rPr>
            </w:pPr>
            <w:r>
              <w:rPr>
                <w:sz w:val="16"/>
              </w:rPr>
              <w:t>评价要点：</w:t>
            </w:r>
          </w:p>
          <w:p>
            <w:pPr>
              <w:pStyle w:val="10"/>
              <w:spacing w:before="11"/>
              <w:ind w:left="29"/>
              <w:rPr>
                <w:sz w:val="16"/>
              </w:rPr>
            </w:pPr>
            <w:r>
              <w:rPr>
                <w:sz w:val="16"/>
              </w:rPr>
              <w:t>①是否严格按专项债券本息偿还计划还本付息；</w:t>
            </w:r>
          </w:p>
          <w:p>
            <w:pPr>
              <w:pStyle w:val="10"/>
              <w:spacing w:before="9"/>
              <w:ind w:left="29"/>
              <w:rPr>
                <w:sz w:val="16"/>
              </w:rPr>
            </w:pPr>
            <w:r>
              <w:rPr>
                <w:sz w:val="16"/>
              </w:rPr>
              <w:t>②项目收入、成本及预期收益是否合理；</w:t>
            </w:r>
          </w:p>
          <w:p>
            <w:pPr>
              <w:pStyle w:val="10"/>
              <w:spacing w:before="11"/>
              <w:ind w:left="29"/>
              <w:rPr>
                <w:sz w:val="16"/>
              </w:rPr>
            </w:pPr>
            <w:r>
              <w:rPr>
                <w:sz w:val="16"/>
              </w:rPr>
              <w:t>③项目是否实现年度收支平衡或项目全生命周期预期收益与专项债券规模是否匹配；</w:t>
            </w:r>
          </w:p>
          <w:p>
            <w:pPr>
              <w:pStyle w:val="10"/>
              <w:spacing w:before="11" w:line="193" w:lineRule="exact"/>
              <w:ind w:left="29"/>
              <w:rPr>
                <w:sz w:val="16"/>
              </w:rPr>
            </w:pPr>
            <w:r>
              <w:rPr>
                <w:sz w:val="16"/>
              </w:rPr>
              <w:t>④专项债券期限与项目期限是否匹配。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trPr>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3374" w:type="dxa"/>
          </w:tcPr>
          <w:p>
            <w:pPr>
              <w:pStyle w:val="10"/>
              <w:rPr>
                <w:b/>
                <w:sz w:val="16"/>
              </w:rPr>
            </w:pPr>
          </w:p>
          <w:p>
            <w:pPr>
              <w:pStyle w:val="10"/>
              <w:spacing w:before="121" w:line="232" w:lineRule="auto"/>
              <w:ind w:left="28" w:right="57"/>
              <w:rPr>
                <w:sz w:val="16"/>
              </w:rPr>
            </w:pPr>
            <w:r>
              <w:rPr>
                <w:sz w:val="16"/>
              </w:rPr>
              <w:t>项目信息公开、信息系统管理使用等专项债券项目常态化管理情况。</w:t>
            </w:r>
          </w:p>
        </w:tc>
        <w:tc>
          <w:tcPr>
            <w:tcW w:w="8880" w:type="dxa"/>
          </w:tcPr>
          <w:p>
            <w:pPr>
              <w:pStyle w:val="10"/>
              <w:spacing w:line="193" w:lineRule="exact"/>
              <w:ind w:left="29"/>
              <w:rPr>
                <w:sz w:val="16"/>
              </w:rPr>
            </w:pPr>
            <w:r>
              <w:rPr>
                <w:sz w:val="16"/>
              </w:rPr>
              <w:t>评价要点：</w:t>
            </w:r>
          </w:p>
          <w:p>
            <w:pPr>
              <w:pStyle w:val="10"/>
              <w:spacing w:before="14"/>
              <w:ind w:left="29"/>
              <w:rPr>
                <w:sz w:val="16"/>
              </w:rPr>
            </w:pPr>
            <w:r>
              <w:rPr>
                <w:sz w:val="16"/>
              </w:rPr>
              <w:t>①是否按照有关规定及时、规范公开项目有关信息；</w:t>
            </w:r>
          </w:p>
          <w:p>
            <w:pPr>
              <w:pStyle w:val="10"/>
              <w:spacing w:before="10"/>
              <w:ind w:left="29"/>
              <w:rPr>
                <w:sz w:val="16"/>
              </w:rPr>
            </w:pPr>
            <w:r>
              <w:rPr>
                <w:sz w:val="16"/>
              </w:rPr>
              <w:t>②信息系统管理使用是否规范；</w:t>
            </w:r>
          </w:p>
          <w:p>
            <w:pPr>
              <w:pStyle w:val="10"/>
              <w:spacing w:before="11"/>
              <w:ind w:left="29"/>
              <w:rPr>
                <w:sz w:val="16"/>
              </w:rPr>
            </w:pPr>
            <w:r>
              <w:rPr>
                <w:sz w:val="16"/>
              </w:rPr>
              <w:t>③对外部监督发现问题是否及时、有效地予以整改；</w:t>
            </w:r>
          </w:p>
          <w:p>
            <w:pPr>
              <w:pStyle w:val="10"/>
              <w:spacing w:before="11" w:line="191" w:lineRule="exact"/>
              <w:ind w:left="29"/>
              <w:rPr>
                <w:sz w:val="16"/>
              </w:rPr>
            </w:pPr>
            <w:r>
              <w:rPr>
                <w:sz w:val="16"/>
              </w:rPr>
              <w:t>④其他财务、采购和管理工作是否合法合规。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799" w:type="dxa"/>
            <w:vMerge w:val="restart"/>
          </w:tcPr>
          <w:p>
            <w:pPr>
              <w:pStyle w:val="10"/>
              <w:rPr>
                <w:b/>
                <w:sz w:val="16"/>
              </w:rPr>
            </w:pPr>
          </w:p>
          <w:p>
            <w:pPr>
              <w:pStyle w:val="10"/>
              <w:rPr>
                <w:b/>
                <w:sz w:val="16"/>
              </w:rPr>
            </w:pPr>
          </w:p>
          <w:p>
            <w:pPr>
              <w:pStyle w:val="10"/>
              <w:rPr>
                <w:b/>
                <w:sz w:val="16"/>
              </w:rPr>
            </w:pPr>
          </w:p>
          <w:p>
            <w:pPr>
              <w:pStyle w:val="10"/>
              <w:rPr>
                <w:b/>
                <w:sz w:val="16"/>
              </w:rPr>
            </w:pPr>
          </w:p>
          <w:p>
            <w:pPr>
              <w:pStyle w:val="10"/>
              <w:rPr>
                <w:b/>
                <w:sz w:val="16"/>
              </w:rPr>
            </w:pPr>
          </w:p>
          <w:p>
            <w:pPr>
              <w:pStyle w:val="10"/>
              <w:rPr>
                <w:b/>
                <w:sz w:val="16"/>
              </w:rPr>
            </w:pPr>
          </w:p>
          <w:p>
            <w:pPr>
              <w:pStyle w:val="10"/>
              <w:spacing w:before="8"/>
              <w:rPr>
                <w:b/>
                <w:sz w:val="18"/>
              </w:rPr>
            </w:pPr>
          </w:p>
          <w:p>
            <w:pPr>
              <w:pStyle w:val="10"/>
              <w:ind w:left="242"/>
              <w:rPr>
                <w:sz w:val="16"/>
              </w:rPr>
            </w:pPr>
            <w:r>
              <w:rPr>
                <w:sz w:val="16"/>
              </w:rPr>
              <w:t>产出</w:t>
            </w:r>
          </w:p>
        </w:tc>
        <w:tc>
          <w:tcPr>
            <w:tcW w:w="799" w:type="dxa"/>
          </w:tcPr>
          <w:p>
            <w:pPr>
              <w:pStyle w:val="10"/>
              <w:spacing w:before="1"/>
              <w:rPr>
                <w:b/>
                <w:sz w:val="16"/>
              </w:rPr>
            </w:pPr>
          </w:p>
          <w:p>
            <w:pPr>
              <w:pStyle w:val="10"/>
              <w:ind w:left="78"/>
              <w:rPr>
                <w:sz w:val="16"/>
              </w:rPr>
            </w:pPr>
            <w:r>
              <w:rPr>
                <w:sz w:val="16"/>
              </w:rPr>
              <w:t>产出数量</w:t>
            </w:r>
          </w:p>
        </w:tc>
        <w:tc>
          <w:tcPr>
            <w:tcW w:w="799" w:type="dxa"/>
          </w:tcPr>
          <w:p>
            <w:pPr>
              <w:pStyle w:val="10"/>
              <w:spacing w:before="110" w:line="232" w:lineRule="auto"/>
              <w:ind w:left="324" w:right="49" w:hanging="245"/>
              <w:rPr>
                <w:sz w:val="16"/>
              </w:rPr>
            </w:pPr>
            <w:r>
              <w:rPr>
                <w:sz w:val="16"/>
              </w:rPr>
              <w:t>实际完成率</w:t>
            </w:r>
          </w:p>
        </w:tc>
        <w:tc>
          <w:tcPr>
            <w:tcW w:w="3374" w:type="dxa"/>
          </w:tcPr>
          <w:p>
            <w:pPr>
              <w:pStyle w:val="10"/>
              <w:spacing w:before="8" w:line="235" w:lineRule="auto"/>
              <w:ind w:left="28" w:right="56"/>
              <w:jc w:val="both"/>
              <w:rPr>
                <w:sz w:val="16"/>
              </w:rPr>
            </w:pPr>
            <w:r>
              <w:rPr>
                <w:sz w:val="16"/>
              </w:rPr>
              <w:t>项目实施实际形成的资产与计划形成资产数的比率，用以反映和考核项目产出数量目标的实现程度。</w:t>
            </w:r>
          </w:p>
        </w:tc>
        <w:tc>
          <w:tcPr>
            <w:tcW w:w="8880" w:type="dxa"/>
          </w:tcPr>
          <w:p>
            <w:pPr>
              <w:pStyle w:val="10"/>
              <w:spacing w:line="195" w:lineRule="exact"/>
              <w:ind w:left="29"/>
              <w:rPr>
                <w:sz w:val="16"/>
              </w:rPr>
            </w:pPr>
            <w:r>
              <w:rPr>
                <w:sz w:val="16"/>
              </w:rPr>
              <w:t>实际完成率=（实际形成资产数/计划形成资产数）×100%。</w:t>
            </w:r>
          </w:p>
          <w:p>
            <w:pPr>
              <w:pStyle w:val="10"/>
              <w:spacing w:before="9"/>
              <w:ind w:left="29"/>
              <w:rPr>
                <w:sz w:val="16"/>
              </w:rPr>
            </w:pPr>
            <w:r>
              <w:rPr>
                <w:sz w:val="16"/>
              </w:rPr>
              <w:t>实际产出数：一定时期（本年度或项目期）内项目实际形成的资产数量。</w:t>
            </w:r>
          </w:p>
          <w:p>
            <w:pPr>
              <w:pStyle w:val="10"/>
              <w:spacing w:before="11" w:line="193" w:lineRule="exact"/>
              <w:ind w:left="29"/>
              <w:rPr>
                <w:sz w:val="16"/>
              </w:rPr>
            </w:pPr>
            <w:r>
              <w:rPr>
                <w:sz w:val="16"/>
              </w:rPr>
              <w:t>计划产出数：项目绩效目标确定的在一定时期（本年度或项目期）内计划形成的资产数量。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99" w:type="dxa"/>
            <w:vMerge w:val="continue"/>
            <w:tcBorders>
              <w:top w:val="nil"/>
            </w:tcBorders>
          </w:tcPr>
          <w:p>
            <w:pPr>
              <w:rPr>
                <w:sz w:val="2"/>
                <w:szCs w:val="2"/>
              </w:rPr>
            </w:pPr>
          </w:p>
        </w:tc>
        <w:tc>
          <w:tcPr>
            <w:tcW w:w="799" w:type="dxa"/>
          </w:tcPr>
          <w:p>
            <w:pPr>
              <w:pStyle w:val="10"/>
              <w:spacing w:before="1"/>
              <w:rPr>
                <w:b/>
                <w:sz w:val="15"/>
              </w:rPr>
            </w:pPr>
          </w:p>
          <w:p>
            <w:pPr>
              <w:pStyle w:val="10"/>
              <w:spacing w:before="1"/>
              <w:ind w:left="78"/>
              <w:rPr>
                <w:sz w:val="16"/>
              </w:rPr>
            </w:pPr>
            <w:r>
              <w:rPr>
                <w:sz w:val="16"/>
              </w:rPr>
              <w:t>产出质量</w:t>
            </w:r>
          </w:p>
        </w:tc>
        <w:tc>
          <w:tcPr>
            <w:tcW w:w="799" w:type="dxa"/>
          </w:tcPr>
          <w:p>
            <w:pPr>
              <w:pStyle w:val="10"/>
              <w:spacing w:before="95" w:line="237" w:lineRule="auto"/>
              <w:ind w:left="324" w:right="49" w:hanging="245"/>
              <w:rPr>
                <w:sz w:val="16"/>
              </w:rPr>
            </w:pPr>
            <w:r>
              <w:rPr>
                <w:sz w:val="16"/>
              </w:rPr>
              <w:t>质量达标率</w:t>
            </w:r>
          </w:p>
        </w:tc>
        <w:tc>
          <w:tcPr>
            <w:tcW w:w="3374" w:type="dxa"/>
          </w:tcPr>
          <w:p>
            <w:pPr>
              <w:pStyle w:val="10"/>
              <w:spacing w:line="235" w:lineRule="auto"/>
              <w:ind w:left="28"/>
              <w:jc w:val="both"/>
              <w:rPr>
                <w:sz w:val="16"/>
              </w:rPr>
            </w:pPr>
            <w:r>
              <w:rPr>
                <w:sz w:val="16"/>
              </w:rPr>
              <w:t>项目完成的质量达标产出数与实际产出数的比率，用以反映和考核项目产出质量目标的实现程度。</w:t>
            </w:r>
          </w:p>
        </w:tc>
        <w:tc>
          <w:tcPr>
            <w:tcW w:w="8880" w:type="dxa"/>
          </w:tcPr>
          <w:p>
            <w:pPr>
              <w:pStyle w:val="10"/>
              <w:spacing w:line="193" w:lineRule="exact"/>
              <w:ind w:left="29"/>
              <w:rPr>
                <w:sz w:val="16"/>
              </w:rPr>
            </w:pPr>
            <w:r>
              <w:rPr>
                <w:sz w:val="16"/>
              </w:rPr>
              <w:t>质量达标率=（质量达标产出数/实际产出数）×100%。</w:t>
            </w:r>
          </w:p>
          <w:p>
            <w:pPr>
              <w:pStyle w:val="10"/>
              <w:spacing w:before="6" w:line="202" w:lineRule="exact"/>
              <w:ind w:left="29"/>
              <w:rPr>
                <w:sz w:val="16"/>
              </w:rPr>
            </w:pPr>
            <w:r>
              <w:rPr>
                <w:sz w:val="16"/>
              </w:rPr>
              <w:t>质量达标产出数：一定时期（本年度或项目期）内实际达到既定质量标准所能提供的公共产品或服务数量。既定质量标准是 指项目实施单位设立绩效目标时依据计划标准、行业标准、历史标准或其他标准而设定的绩效指标值。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799" w:type="dxa"/>
            <w:vMerge w:val="continue"/>
            <w:tcBorders>
              <w:top w:val="nil"/>
            </w:tcBorders>
          </w:tcPr>
          <w:p>
            <w:pPr>
              <w:rPr>
                <w:sz w:val="2"/>
                <w:szCs w:val="2"/>
              </w:rPr>
            </w:pPr>
          </w:p>
        </w:tc>
        <w:tc>
          <w:tcPr>
            <w:tcW w:w="799" w:type="dxa"/>
          </w:tcPr>
          <w:p>
            <w:pPr>
              <w:pStyle w:val="10"/>
              <w:spacing w:before="3"/>
              <w:rPr>
                <w:b/>
                <w:sz w:val="14"/>
              </w:rPr>
            </w:pPr>
          </w:p>
          <w:p>
            <w:pPr>
              <w:pStyle w:val="10"/>
              <w:ind w:left="78"/>
              <w:rPr>
                <w:sz w:val="16"/>
              </w:rPr>
            </w:pPr>
            <w:r>
              <w:rPr>
                <w:sz w:val="16"/>
              </w:rPr>
              <w:t>产出时效</w:t>
            </w:r>
          </w:p>
        </w:tc>
        <w:tc>
          <w:tcPr>
            <w:tcW w:w="799" w:type="dxa"/>
          </w:tcPr>
          <w:p>
            <w:pPr>
              <w:pStyle w:val="10"/>
              <w:spacing w:before="85" w:line="235" w:lineRule="auto"/>
              <w:ind w:left="324" w:right="49" w:hanging="245"/>
              <w:rPr>
                <w:sz w:val="16"/>
              </w:rPr>
            </w:pPr>
            <w:r>
              <w:rPr>
                <w:sz w:val="16"/>
              </w:rPr>
              <w:t>完成及时性</w:t>
            </w:r>
          </w:p>
        </w:tc>
        <w:tc>
          <w:tcPr>
            <w:tcW w:w="3374" w:type="dxa"/>
          </w:tcPr>
          <w:p>
            <w:pPr>
              <w:pStyle w:val="10"/>
              <w:spacing w:before="85" w:line="235" w:lineRule="auto"/>
              <w:ind w:left="28" w:right="1"/>
              <w:rPr>
                <w:sz w:val="16"/>
              </w:rPr>
            </w:pPr>
            <w:r>
              <w:rPr>
                <w:sz w:val="16"/>
              </w:rPr>
              <w:t>项目实际完成时间与计划完成时间的比较，用以反映和考核项目产出时效目标的实现程度。</w:t>
            </w:r>
          </w:p>
        </w:tc>
        <w:tc>
          <w:tcPr>
            <w:tcW w:w="8880" w:type="dxa"/>
          </w:tcPr>
          <w:p>
            <w:pPr>
              <w:pStyle w:val="10"/>
              <w:spacing w:before="74"/>
              <w:ind w:left="29"/>
              <w:rPr>
                <w:sz w:val="16"/>
              </w:rPr>
            </w:pPr>
            <w:r>
              <w:rPr>
                <w:sz w:val="16"/>
              </w:rPr>
              <w:t>实际完成时间：项目实施单位完成该项目实际所耗用的时间。</w:t>
            </w:r>
          </w:p>
          <w:p>
            <w:pPr>
              <w:pStyle w:val="10"/>
              <w:spacing w:before="97" w:line="191" w:lineRule="exact"/>
              <w:ind w:left="29"/>
              <w:rPr>
                <w:sz w:val="16"/>
              </w:rPr>
            </w:pPr>
            <w:r>
              <w:rPr>
                <w:sz w:val="16"/>
              </w:rPr>
              <w:t>计划完成时间：按照项目实施方案或相关规定完成该项目所需的时间。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1" w:hRule="atLeast"/>
        </w:trPr>
        <w:tc>
          <w:tcPr>
            <w:tcW w:w="799" w:type="dxa"/>
            <w:vMerge w:val="continue"/>
            <w:tcBorders>
              <w:top w:val="nil"/>
            </w:tcBorders>
          </w:tcPr>
          <w:p>
            <w:pPr>
              <w:rPr>
                <w:sz w:val="2"/>
                <w:szCs w:val="2"/>
              </w:rPr>
            </w:pPr>
          </w:p>
        </w:tc>
        <w:tc>
          <w:tcPr>
            <w:tcW w:w="799" w:type="dxa"/>
          </w:tcPr>
          <w:p>
            <w:pPr>
              <w:pStyle w:val="10"/>
              <w:rPr>
                <w:b/>
                <w:sz w:val="16"/>
              </w:rPr>
            </w:pPr>
          </w:p>
          <w:p>
            <w:pPr>
              <w:pStyle w:val="10"/>
              <w:rPr>
                <w:b/>
                <w:sz w:val="16"/>
              </w:rPr>
            </w:pPr>
          </w:p>
          <w:p>
            <w:pPr>
              <w:pStyle w:val="10"/>
              <w:spacing w:before="120"/>
              <w:ind w:left="78"/>
              <w:rPr>
                <w:sz w:val="16"/>
              </w:rPr>
            </w:pPr>
            <w:r>
              <w:rPr>
                <w:sz w:val="16"/>
              </w:rPr>
              <w:t>产出成本</w:t>
            </w:r>
          </w:p>
        </w:tc>
        <w:tc>
          <w:tcPr>
            <w:tcW w:w="799" w:type="dxa"/>
          </w:tcPr>
          <w:p>
            <w:pPr>
              <w:pStyle w:val="10"/>
              <w:rPr>
                <w:b/>
                <w:sz w:val="16"/>
              </w:rPr>
            </w:pPr>
          </w:p>
          <w:p>
            <w:pPr>
              <w:pStyle w:val="10"/>
              <w:spacing w:before="11"/>
              <w:rPr>
                <w:b/>
                <w:sz w:val="17"/>
              </w:rPr>
            </w:pPr>
          </w:p>
          <w:p>
            <w:pPr>
              <w:pStyle w:val="10"/>
              <w:spacing w:line="232" w:lineRule="auto"/>
              <w:ind w:left="324" w:right="49" w:hanging="245"/>
              <w:rPr>
                <w:sz w:val="16"/>
              </w:rPr>
            </w:pPr>
            <w:r>
              <w:rPr>
                <w:sz w:val="16"/>
              </w:rPr>
              <w:t>成本节约率</w:t>
            </w:r>
          </w:p>
        </w:tc>
        <w:tc>
          <w:tcPr>
            <w:tcW w:w="3374" w:type="dxa"/>
          </w:tcPr>
          <w:p>
            <w:pPr>
              <w:pStyle w:val="10"/>
              <w:rPr>
                <w:b/>
                <w:sz w:val="16"/>
              </w:rPr>
            </w:pPr>
          </w:p>
          <w:p>
            <w:pPr>
              <w:pStyle w:val="10"/>
              <w:spacing w:before="127" w:line="235" w:lineRule="auto"/>
              <w:ind w:left="28" w:right="57"/>
              <w:jc w:val="both"/>
              <w:rPr>
                <w:sz w:val="16"/>
              </w:rPr>
            </w:pPr>
            <w:r>
              <w:rPr>
                <w:sz w:val="16"/>
              </w:rPr>
              <w:t>完成项目计划工作目标的实际节约成本与计划成本的比率，用以反映和考核项目的成本节约程度。</w:t>
            </w:r>
          </w:p>
        </w:tc>
        <w:tc>
          <w:tcPr>
            <w:tcW w:w="8880" w:type="dxa"/>
          </w:tcPr>
          <w:p>
            <w:pPr>
              <w:pStyle w:val="10"/>
              <w:spacing w:line="195" w:lineRule="exact"/>
              <w:ind w:left="29"/>
              <w:rPr>
                <w:sz w:val="16"/>
              </w:rPr>
            </w:pPr>
            <w:r>
              <w:rPr>
                <w:sz w:val="16"/>
              </w:rPr>
              <w:t>①建设成本节约率=[（计划建设成本-实际建设成本）/计划建设成本]×100%。</w:t>
            </w:r>
          </w:p>
          <w:p>
            <w:pPr>
              <w:pStyle w:val="10"/>
              <w:spacing w:before="11" w:line="252" w:lineRule="auto"/>
              <w:ind w:left="29" w:right="1310"/>
              <w:rPr>
                <w:sz w:val="16"/>
              </w:rPr>
            </w:pPr>
            <w:r>
              <w:rPr>
                <w:sz w:val="16"/>
              </w:rPr>
              <w:t>实际建设成本：项目实施单位如期、保质、保量建成项目实际所耗费的支出（考虑债券资金闲置因素）。 计划成本：项目实施单位为建成项目计划安排的支出，一般以实施方案为准。</w:t>
            </w:r>
          </w:p>
          <w:p>
            <w:pPr>
              <w:pStyle w:val="10"/>
              <w:spacing w:line="204" w:lineRule="exact"/>
              <w:ind w:left="29"/>
              <w:rPr>
                <w:sz w:val="16"/>
              </w:rPr>
            </w:pPr>
            <w:r>
              <w:rPr>
                <w:sz w:val="16"/>
              </w:rPr>
              <w:t>②运营成本节约率=[（计划运营成本-实际运营成本）/计划运营成本]×100%。</w:t>
            </w:r>
          </w:p>
          <w:p>
            <w:pPr>
              <w:pStyle w:val="10"/>
              <w:spacing w:before="11"/>
              <w:ind w:left="29"/>
              <w:rPr>
                <w:sz w:val="16"/>
              </w:rPr>
            </w:pPr>
            <w:r>
              <w:rPr>
                <w:sz w:val="16"/>
              </w:rPr>
              <w:t>实际运营成本：项目运营期间按照既定质量标准提供公共产品或服务实际耗费的支出。</w:t>
            </w:r>
          </w:p>
          <w:p>
            <w:pPr>
              <w:pStyle w:val="10"/>
              <w:spacing w:before="11" w:line="193" w:lineRule="exact"/>
              <w:ind w:left="29"/>
              <w:rPr>
                <w:sz w:val="16"/>
              </w:rPr>
            </w:pPr>
            <w:r>
              <w:rPr>
                <w:sz w:val="16"/>
              </w:rPr>
              <w:t>计划运营成本：项目运营期间按照既定质量标准提供公共产品或服务计划安排的支出，一般以实施方案为准。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799" w:type="dxa"/>
            <w:vMerge w:val="restart"/>
          </w:tcPr>
          <w:p>
            <w:pPr>
              <w:pStyle w:val="10"/>
              <w:rPr>
                <w:b/>
                <w:sz w:val="16"/>
              </w:rPr>
            </w:pPr>
          </w:p>
          <w:p>
            <w:pPr>
              <w:pStyle w:val="10"/>
              <w:spacing w:before="114"/>
              <w:ind w:left="242"/>
              <w:rPr>
                <w:sz w:val="16"/>
              </w:rPr>
            </w:pPr>
            <w:r>
              <w:rPr>
                <w:sz w:val="16"/>
              </w:rPr>
              <w:t>效益</w:t>
            </w:r>
          </w:p>
        </w:tc>
        <w:tc>
          <w:tcPr>
            <w:tcW w:w="799" w:type="dxa"/>
            <w:vMerge w:val="restart"/>
          </w:tcPr>
          <w:p>
            <w:pPr>
              <w:pStyle w:val="10"/>
              <w:rPr>
                <w:b/>
                <w:sz w:val="16"/>
              </w:rPr>
            </w:pPr>
          </w:p>
          <w:p>
            <w:pPr>
              <w:pStyle w:val="10"/>
              <w:spacing w:before="114"/>
              <w:ind w:left="78"/>
              <w:rPr>
                <w:sz w:val="16"/>
              </w:rPr>
            </w:pPr>
            <w:r>
              <w:rPr>
                <w:sz w:val="16"/>
              </w:rPr>
              <w:t>项目效益</w:t>
            </w:r>
          </w:p>
        </w:tc>
        <w:tc>
          <w:tcPr>
            <w:tcW w:w="799" w:type="dxa"/>
          </w:tcPr>
          <w:p>
            <w:pPr>
              <w:pStyle w:val="10"/>
              <w:spacing w:before="115"/>
              <w:ind w:left="61" w:right="34"/>
              <w:jc w:val="center"/>
              <w:rPr>
                <w:sz w:val="16"/>
              </w:rPr>
            </w:pPr>
            <w:r>
              <w:rPr>
                <w:sz w:val="16"/>
              </w:rPr>
              <w:t>实施效益</w:t>
            </w:r>
          </w:p>
        </w:tc>
        <w:tc>
          <w:tcPr>
            <w:tcW w:w="3374" w:type="dxa"/>
          </w:tcPr>
          <w:p>
            <w:pPr>
              <w:pStyle w:val="10"/>
              <w:spacing w:before="115"/>
              <w:ind w:left="28"/>
              <w:rPr>
                <w:sz w:val="16"/>
              </w:rPr>
            </w:pPr>
            <w:r>
              <w:rPr>
                <w:sz w:val="16"/>
              </w:rPr>
              <w:t>项目实施所产生的效益。</w:t>
            </w:r>
          </w:p>
        </w:tc>
        <w:tc>
          <w:tcPr>
            <w:tcW w:w="8880" w:type="dxa"/>
          </w:tcPr>
          <w:p>
            <w:pPr>
              <w:pStyle w:val="10"/>
              <w:spacing w:before="16" w:line="237" w:lineRule="auto"/>
              <w:ind w:left="29"/>
              <w:rPr>
                <w:sz w:val="16"/>
              </w:rPr>
            </w:pPr>
            <w:r>
              <w:rPr>
                <w:sz w:val="16"/>
              </w:rPr>
              <w:t>项目实施所产生的综合效益，如社会效益、经济效益、生态效益、可持续影响等；项目带动社会有效投资情况；项目支持国 家和省重大区域发展战略情况等。可根据项目实际情况有选择地设置和细化。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799" w:type="dxa"/>
            <w:vMerge w:val="continue"/>
            <w:tcBorders>
              <w:top w:val="nil"/>
            </w:tcBorders>
          </w:tcPr>
          <w:p>
            <w:pPr>
              <w:rPr>
                <w:sz w:val="2"/>
                <w:szCs w:val="2"/>
              </w:rPr>
            </w:pPr>
          </w:p>
        </w:tc>
        <w:tc>
          <w:tcPr>
            <w:tcW w:w="799" w:type="dxa"/>
            <w:vMerge w:val="continue"/>
            <w:tcBorders>
              <w:top w:val="nil"/>
            </w:tcBorders>
          </w:tcPr>
          <w:p>
            <w:pPr>
              <w:rPr>
                <w:sz w:val="2"/>
                <w:szCs w:val="2"/>
              </w:rPr>
            </w:pPr>
          </w:p>
        </w:tc>
        <w:tc>
          <w:tcPr>
            <w:tcW w:w="799" w:type="dxa"/>
          </w:tcPr>
          <w:p>
            <w:pPr>
              <w:pStyle w:val="10"/>
              <w:spacing w:before="86"/>
              <w:ind w:left="61" w:right="33"/>
              <w:jc w:val="center"/>
              <w:rPr>
                <w:sz w:val="16"/>
              </w:rPr>
            </w:pPr>
            <w:r>
              <w:rPr>
                <w:sz w:val="16"/>
              </w:rPr>
              <w:t>满意度</w:t>
            </w:r>
          </w:p>
        </w:tc>
        <w:tc>
          <w:tcPr>
            <w:tcW w:w="3374" w:type="dxa"/>
          </w:tcPr>
          <w:p>
            <w:pPr>
              <w:pStyle w:val="10"/>
              <w:spacing w:line="189" w:lineRule="exact"/>
              <w:ind w:left="28"/>
              <w:rPr>
                <w:sz w:val="16"/>
              </w:rPr>
            </w:pPr>
            <w:r>
              <w:rPr>
                <w:sz w:val="16"/>
              </w:rPr>
              <w:t>项目直接服务对象对项目实施效果的满意程度</w:t>
            </w:r>
          </w:p>
          <w:p>
            <w:pPr>
              <w:pStyle w:val="10"/>
              <w:spacing w:line="186" w:lineRule="exact"/>
              <w:ind w:left="28"/>
              <w:rPr>
                <w:sz w:val="16"/>
              </w:rPr>
            </w:pPr>
            <w:r>
              <w:rPr>
                <w:w w:val="101"/>
                <w:sz w:val="16"/>
              </w:rPr>
              <w:t>。</w:t>
            </w:r>
          </w:p>
        </w:tc>
        <w:tc>
          <w:tcPr>
            <w:tcW w:w="8880" w:type="dxa"/>
          </w:tcPr>
          <w:p>
            <w:pPr>
              <w:pStyle w:val="10"/>
              <w:spacing w:before="86"/>
              <w:ind w:left="29"/>
              <w:rPr>
                <w:sz w:val="16"/>
              </w:rPr>
            </w:pPr>
            <w:r>
              <w:rPr>
                <w:sz w:val="16"/>
              </w:rPr>
              <w:t>项目直接服务对象是指因该项目实施直接受到影响的部门（单位）、群体或个人。一般采取社会调查的方式。</w:t>
            </w:r>
          </w:p>
        </w:tc>
      </w:tr>
    </w:tbl>
    <w:p>
      <w:pPr>
        <w:pStyle w:val="4"/>
        <w:rPr>
          <w:b/>
          <w:sz w:val="26"/>
        </w:rPr>
      </w:pPr>
    </w:p>
    <w:p>
      <w:pPr>
        <w:pStyle w:val="4"/>
        <w:rPr>
          <w:b/>
          <w:sz w:val="26"/>
        </w:rPr>
      </w:pPr>
    </w:p>
    <w:p>
      <w:pPr>
        <w:pStyle w:val="4"/>
        <w:rPr>
          <w:b/>
          <w:sz w:val="26"/>
        </w:rPr>
      </w:pPr>
    </w:p>
    <w:p>
      <w:pPr>
        <w:pStyle w:val="4"/>
        <w:rPr>
          <w:b/>
          <w:sz w:val="26"/>
        </w:rPr>
      </w:pPr>
    </w:p>
    <w:p>
      <w:pPr>
        <w:pStyle w:val="4"/>
        <w:rPr>
          <w:b/>
          <w:sz w:val="26"/>
        </w:rPr>
      </w:pPr>
    </w:p>
    <w:p>
      <w:pPr>
        <w:pStyle w:val="4"/>
        <w:rPr>
          <w:b/>
          <w:sz w:val="26"/>
        </w:rPr>
      </w:pPr>
    </w:p>
    <w:p>
      <w:pPr>
        <w:pStyle w:val="4"/>
        <w:spacing w:before="6"/>
        <w:rPr>
          <w:b/>
          <w:sz w:val="27"/>
        </w:rPr>
      </w:pPr>
    </w:p>
    <w:p>
      <w:pPr>
        <w:spacing w:before="0"/>
        <w:ind w:left="4045" w:right="4025" w:firstLine="0"/>
        <w:jc w:val="center"/>
        <w:rPr>
          <w:sz w:val="28"/>
        </w:rPr>
      </w:pPr>
      <w:r>
        <w:rPr>
          <w:sz w:val="28"/>
        </w:rPr>
        <w:t>-16-</w:t>
      </w:r>
    </w:p>
    <w:p>
      <w:pPr>
        <w:spacing w:after="0"/>
        <w:jc w:val="center"/>
        <w:rPr>
          <w:sz w:val="28"/>
        </w:rPr>
        <w:sectPr>
          <w:footerReference r:id="rId5" w:type="even"/>
          <w:pgSz w:w="16840" w:h="11910" w:orient="landscape"/>
          <w:pgMar w:top="1100" w:right="980" w:bottom="280" w:left="960" w:header="0" w:footer="0" w:gutter="0"/>
          <w:cols w:space="720" w:num="1"/>
        </w:sectPr>
      </w:pPr>
    </w:p>
    <w:p>
      <w:pPr>
        <w:pStyle w:val="4"/>
        <w:spacing w:before="54"/>
        <w:ind w:left="248"/>
        <w:jc w:val="both"/>
        <w:rPr>
          <w:rFonts w:hint="eastAsia" w:ascii="黑体" w:eastAsia="黑体"/>
        </w:rPr>
      </w:pPr>
      <w:r>
        <w:rPr>
          <w:rFonts w:hint="eastAsia" w:ascii="黑体" w:eastAsia="黑体"/>
        </w:rPr>
        <w:t>附件 4</w:t>
      </w:r>
    </w:p>
    <w:p>
      <w:pPr>
        <w:pStyle w:val="2"/>
        <w:jc w:val="both"/>
      </w:pPr>
      <w:r>
        <w:t>地方政府专项债券资金项目支出绩效评价报告</w:t>
      </w:r>
    </w:p>
    <w:p>
      <w:pPr>
        <w:pStyle w:val="4"/>
        <w:spacing w:before="69"/>
        <w:ind w:left="3670" w:right="3700"/>
        <w:jc w:val="center"/>
      </w:pPr>
      <w:r>
        <w:t>（参考提纲）</w:t>
      </w:r>
    </w:p>
    <w:p>
      <w:pPr>
        <w:pStyle w:val="4"/>
      </w:pPr>
    </w:p>
    <w:p>
      <w:pPr>
        <w:pStyle w:val="4"/>
        <w:spacing w:before="250"/>
        <w:ind w:left="848"/>
        <w:rPr>
          <w:rFonts w:hint="eastAsia" w:ascii="黑体" w:eastAsia="黑体"/>
        </w:rPr>
      </w:pPr>
      <w:r>
        <w:rPr>
          <w:rFonts w:hint="eastAsia" w:ascii="黑体" w:eastAsia="黑体"/>
        </w:rPr>
        <w:t>一、基本情况</w:t>
      </w:r>
    </w:p>
    <w:p>
      <w:pPr>
        <w:spacing w:before="54" w:line="276" w:lineRule="auto"/>
        <w:ind w:left="248" w:right="267" w:firstLine="600"/>
        <w:jc w:val="left"/>
        <w:rPr>
          <w:sz w:val="32"/>
        </w:rPr>
      </w:pPr>
      <w:bookmarkStart w:id="3" w:name="（一）项目概况。包括政策背景、项目内容及实施情况、资金投入和使用情况等。"/>
      <w:bookmarkEnd w:id="3"/>
      <w:r>
        <w:rPr>
          <w:rFonts w:hint="eastAsia" w:ascii="Microsoft JhengHei" w:eastAsia="Microsoft JhengHei"/>
          <w:b/>
          <w:spacing w:val="-3"/>
          <w:w w:val="95"/>
          <w:sz w:val="32"/>
        </w:rPr>
        <w:t>（</w:t>
      </w:r>
      <w:r>
        <w:rPr>
          <w:rFonts w:hint="eastAsia" w:ascii="Microsoft JhengHei" w:eastAsia="Microsoft JhengHei"/>
          <w:b/>
          <w:spacing w:val="-5"/>
          <w:w w:val="95"/>
          <w:sz w:val="32"/>
        </w:rPr>
        <w:t>一</w:t>
      </w:r>
      <w:r>
        <w:rPr>
          <w:rFonts w:hint="eastAsia" w:ascii="Microsoft JhengHei" w:eastAsia="Microsoft JhengHei"/>
          <w:b/>
          <w:spacing w:val="-3"/>
          <w:w w:val="95"/>
          <w:sz w:val="32"/>
        </w:rPr>
        <w:t>）</w:t>
      </w:r>
      <w:r>
        <w:rPr>
          <w:rFonts w:hint="eastAsia" w:ascii="Microsoft JhengHei" w:eastAsia="Microsoft JhengHei"/>
          <w:b/>
          <w:spacing w:val="-5"/>
          <w:w w:val="95"/>
          <w:sz w:val="32"/>
        </w:rPr>
        <w:t>项目概况。</w:t>
      </w:r>
      <w:r>
        <w:rPr>
          <w:spacing w:val="-5"/>
          <w:w w:val="95"/>
          <w:sz w:val="32"/>
        </w:rPr>
        <w:t>包括政策背景、项目内容及实施情况、资</w:t>
      </w:r>
      <w:r>
        <w:rPr>
          <w:spacing w:val="-7"/>
          <w:sz w:val="32"/>
        </w:rPr>
        <w:t>金投入和使用情况等。</w:t>
      </w:r>
    </w:p>
    <w:p>
      <w:pPr>
        <w:spacing w:before="0" w:line="578" w:lineRule="exact"/>
        <w:ind w:left="848" w:right="0" w:firstLine="0"/>
        <w:jc w:val="left"/>
        <w:rPr>
          <w:sz w:val="32"/>
        </w:rPr>
      </w:pPr>
      <w:r>
        <w:rPr>
          <w:rFonts w:hint="eastAsia" w:ascii="Microsoft JhengHei" w:eastAsia="Microsoft JhengHei"/>
          <w:b/>
          <w:sz w:val="32"/>
        </w:rPr>
        <w:t>（二）项目绩效目标。</w:t>
      </w:r>
      <w:r>
        <w:rPr>
          <w:sz w:val="32"/>
        </w:rPr>
        <w:t>包括总体目标和阶段性目标。</w:t>
      </w:r>
    </w:p>
    <w:p>
      <w:pPr>
        <w:pStyle w:val="4"/>
        <w:spacing w:before="86"/>
        <w:ind w:left="848"/>
        <w:rPr>
          <w:rFonts w:hint="eastAsia" w:ascii="黑体" w:eastAsia="黑体"/>
        </w:rPr>
      </w:pPr>
      <w:r>
        <w:rPr>
          <w:rFonts w:hint="eastAsia" w:ascii="黑体" w:eastAsia="黑体"/>
        </w:rPr>
        <w:t>二、绩效评价工作开展情况</w:t>
      </w:r>
    </w:p>
    <w:p>
      <w:pPr>
        <w:pStyle w:val="3"/>
        <w:spacing w:before="53"/>
        <w:ind w:left="848"/>
      </w:pPr>
      <w:r>
        <w:t>（一）绩效评价目的、对象和范围。</w:t>
      </w:r>
    </w:p>
    <w:p>
      <w:pPr>
        <w:spacing w:before="3" w:line="232" w:lineRule="auto"/>
        <w:ind w:left="248" w:right="122" w:firstLine="600"/>
        <w:jc w:val="left"/>
        <w:rPr>
          <w:rFonts w:hint="eastAsia" w:ascii="Microsoft JhengHei" w:hAnsi="Microsoft JhengHei" w:eastAsia="Microsoft JhengHei" w:cs="Microsoft JhengHei"/>
          <w:b/>
          <w:bCs/>
          <w:kern w:val="2"/>
          <w:sz w:val="32"/>
          <w:szCs w:val="32"/>
          <w:lang w:val="en-US" w:eastAsia="zh-CN" w:bidi="ar-SA"/>
        </w:rPr>
      </w:pPr>
      <w:r>
        <w:rPr>
          <w:rFonts w:hint="eastAsia" w:ascii="Microsoft JhengHei" w:hAnsi="Microsoft JhengHei" w:eastAsia="Microsoft JhengHei" w:cs="Microsoft JhengHei"/>
          <w:b/>
          <w:bCs/>
          <w:kern w:val="2"/>
          <w:sz w:val="32"/>
          <w:szCs w:val="32"/>
          <w:lang w:val="en-US" w:eastAsia="zh-CN" w:bidi="ar-SA"/>
        </w:rPr>
        <w:t>（二）绩效评价原则、评价指标体系（附表说明）、评价方法、  评价标准等。</w:t>
      </w:r>
    </w:p>
    <w:p>
      <w:pPr>
        <w:spacing w:before="0" w:line="572" w:lineRule="exact"/>
        <w:ind w:left="848" w:right="0" w:firstLine="0"/>
        <w:jc w:val="left"/>
        <w:rPr>
          <w:rFonts w:hint="eastAsia" w:ascii="Microsoft JhengHei" w:eastAsia="Microsoft JhengHei"/>
          <w:b/>
          <w:sz w:val="32"/>
        </w:rPr>
      </w:pPr>
      <w:r>
        <w:rPr>
          <w:rFonts w:hint="eastAsia" w:ascii="Microsoft JhengHei" w:eastAsia="Microsoft JhengHei"/>
          <w:b/>
          <w:sz w:val="32"/>
        </w:rPr>
        <w:t>（三）绩效评价工作过程。</w:t>
      </w:r>
    </w:p>
    <w:p>
      <w:pPr>
        <w:pStyle w:val="4"/>
        <w:spacing w:before="88" w:line="333" w:lineRule="auto"/>
        <w:ind w:left="848" w:right="1568"/>
      </w:pPr>
      <w:r>
        <w:rPr>
          <w:rFonts w:hint="eastAsia" w:ascii="黑体" w:eastAsia="黑体"/>
          <w:spacing w:val="-7"/>
        </w:rPr>
        <w:t>三、综合评价情况及评价结论</w:t>
      </w:r>
      <w:r>
        <w:rPr>
          <w:spacing w:val="-5"/>
        </w:rPr>
        <w:t>（</w:t>
      </w:r>
      <w:r>
        <w:rPr>
          <w:spacing w:val="-7"/>
        </w:rPr>
        <w:t>附相关评分表</w:t>
      </w:r>
      <w:r>
        <w:t xml:space="preserve">） </w:t>
      </w:r>
    </w:p>
    <w:p>
      <w:pPr>
        <w:pStyle w:val="4"/>
        <w:spacing w:before="88" w:line="333" w:lineRule="auto"/>
        <w:ind w:left="848" w:right="1568"/>
        <w:rPr>
          <w:rFonts w:hint="eastAsia" w:ascii="黑体" w:eastAsia="黑体"/>
        </w:rPr>
      </w:pPr>
      <w:r>
        <w:rPr>
          <w:rFonts w:hint="eastAsia" w:ascii="黑体" w:eastAsia="黑体"/>
          <w:spacing w:val="-7"/>
          <w:w w:val="95"/>
          <w:lang w:val="en-US" w:eastAsia="zh-CN"/>
        </w:rPr>
        <w:t>四、</w:t>
      </w:r>
      <w:r>
        <w:rPr>
          <w:rFonts w:hint="eastAsia" w:ascii="黑体" w:eastAsia="黑体"/>
          <w:spacing w:val="-7"/>
          <w:w w:val="95"/>
        </w:rPr>
        <w:t>绩效评价指标分析</w:t>
      </w:r>
      <w:r>
        <w:rPr>
          <w:rFonts w:hint="eastAsia" w:ascii="黑体" w:eastAsia="黑体"/>
          <w:spacing w:val="-5"/>
          <w:w w:val="95"/>
        </w:rPr>
        <w:t>（</w:t>
      </w:r>
      <w:r>
        <w:rPr>
          <w:rFonts w:hint="eastAsia" w:ascii="黑体" w:eastAsia="黑体"/>
          <w:spacing w:val="-7"/>
          <w:w w:val="95"/>
        </w:rPr>
        <w:t>包括但不限于以下内容</w:t>
      </w:r>
      <w:r>
        <w:rPr>
          <w:rFonts w:hint="eastAsia" w:ascii="黑体" w:eastAsia="黑体"/>
          <w:spacing w:val="-12"/>
          <w:w w:val="95"/>
        </w:rPr>
        <w:t>）</w:t>
      </w:r>
    </w:p>
    <w:p>
      <w:pPr>
        <w:spacing w:before="0" w:line="481" w:lineRule="exact"/>
        <w:ind w:left="848" w:right="0" w:firstLine="0"/>
        <w:jc w:val="left"/>
        <w:rPr>
          <w:sz w:val="32"/>
        </w:rPr>
      </w:pPr>
      <w:r>
        <w:rPr>
          <w:rFonts w:hint="eastAsia" w:ascii="Microsoft JhengHei" w:eastAsia="Microsoft JhengHei"/>
          <w:b/>
          <w:sz w:val="32"/>
        </w:rPr>
        <w:t>（一）项目决策情况分析。</w:t>
      </w:r>
      <w:r>
        <w:rPr>
          <w:sz w:val="32"/>
        </w:rPr>
        <w:t>项目立项批复情况；项目完成勘</w:t>
      </w:r>
    </w:p>
    <w:p>
      <w:pPr>
        <w:pStyle w:val="4"/>
        <w:spacing w:before="86" w:line="333" w:lineRule="auto"/>
        <w:ind w:left="248" w:right="260"/>
        <w:jc w:val="both"/>
      </w:pPr>
      <w:r>
        <w:rPr>
          <w:spacing w:val="-5"/>
          <w:w w:val="95"/>
        </w:rPr>
        <w:t xml:space="preserve">察、设计、用地、环评、开工许可等前期工作情况；项目符合专 项债券支持领域和方向情况；项目绩效目标设定情况；项目申请 </w:t>
      </w:r>
      <w:r>
        <w:rPr>
          <w:spacing w:val="-7"/>
        </w:rPr>
        <w:t>专项债券额度与实际需要匹配情况等。</w:t>
      </w:r>
    </w:p>
    <w:p>
      <w:pPr>
        <w:spacing w:before="0" w:line="480" w:lineRule="exact"/>
        <w:ind w:left="848" w:right="0" w:firstLine="0"/>
        <w:jc w:val="left"/>
        <w:rPr>
          <w:sz w:val="32"/>
        </w:rPr>
      </w:pPr>
      <w:r>
        <w:rPr>
          <w:rFonts w:hint="eastAsia" w:ascii="Microsoft JhengHei" w:eastAsia="Microsoft JhengHei"/>
          <w:b/>
          <w:spacing w:val="-3"/>
          <w:w w:val="95"/>
          <w:sz w:val="32"/>
        </w:rPr>
        <w:t>（</w:t>
      </w:r>
      <w:r>
        <w:rPr>
          <w:rFonts w:hint="eastAsia" w:ascii="Microsoft JhengHei" w:eastAsia="Microsoft JhengHei"/>
          <w:b/>
          <w:spacing w:val="-5"/>
          <w:w w:val="95"/>
          <w:sz w:val="32"/>
        </w:rPr>
        <w:t>二</w:t>
      </w:r>
      <w:r>
        <w:rPr>
          <w:rFonts w:hint="eastAsia" w:ascii="Microsoft JhengHei" w:eastAsia="Microsoft JhengHei"/>
          <w:b/>
          <w:spacing w:val="-3"/>
          <w:w w:val="95"/>
          <w:sz w:val="32"/>
        </w:rPr>
        <w:t>）</w:t>
      </w:r>
      <w:r>
        <w:rPr>
          <w:rFonts w:hint="eastAsia" w:ascii="Microsoft JhengHei" w:eastAsia="Microsoft JhengHei"/>
          <w:b/>
          <w:spacing w:val="-5"/>
          <w:w w:val="95"/>
          <w:sz w:val="32"/>
        </w:rPr>
        <w:t>项目管理情况分析。</w:t>
      </w:r>
      <w:r>
        <w:rPr>
          <w:spacing w:val="-5"/>
          <w:w w:val="95"/>
          <w:sz w:val="32"/>
        </w:rPr>
        <w:t>专项债券收支、还本付息及专项</w:t>
      </w:r>
    </w:p>
    <w:p>
      <w:pPr>
        <w:pStyle w:val="4"/>
        <w:spacing w:before="86"/>
        <w:ind w:left="248"/>
        <w:jc w:val="both"/>
        <w:rPr>
          <w:spacing w:val="-5"/>
          <w:w w:val="95"/>
        </w:rPr>
      </w:pPr>
      <w:r>
        <w:rPr>
          <w:spacing w:val="-5"/>
          <w:w w:val="95"/>
        </w:rPr>
        <w:t>收入纳入政府性基金预算管理情况；债券资金按规定用途使用情</w:t>
      </w:r>
    </w:p>
    <w:p>
      <w:pPr>
        <w:pStyle w:val="4"/>
      </w:pPr>
    </w:p>
    <w:p>
      <w:pPr>
        <w:pStyle w:val="4"/>
        <w:spacing w:before="3"/>
        <w:rPr>
          <w:sz w:val="33"/>
        </w:rPr>
      </w:pPr>
    </w:p>
    <w:p>
      <w:pPr>
        <w:spacing w:before="0"/>
        <w:ind w:left="0" w:right="198" w:firstLine="0"/>
        <w:jc w:val="right"/>
        <w:rPr>
          <w:sz w:val="28"/>
        </w:rPr>
      </w:pPr>
      <w:r>
        <w:rPr>
          <w:sz w:val="28"/>
        </w:rPr>
        <w:t>-17-</w:t>
      </w:r>
    </w:p>
    <w:p>
      <w:pPr>
        <w:spacing w:after="0"/>
        <w:jc w:val="right"/>
        <w:rPr>
          <w:sz w:val="28"/>
        </w:rPr>
        <w:sectPr>
          <w:footerReference r:id="rId6" w:type="default"/>
          <w:pgSz w:w="11911" w:h="16838"/>
          <w:pgMar w:top="1582" w:right="1242" w:bottom="278" w:left="1338" w:header="0" w:footer="0" w:gutter="0"/>
          <w:cols w:space="0" w:num="1"/>
          <w:rtlGutter w:val="0"/>
          <w:docGrid w:linePitch="0" w:charSpace="0"/>
        </w:sectPr>
      </w:pPr>
    </w:p>
    <w:p>
      <w:pPr>
        <w:pStyle w:val="4"/>
        <w:spacing w:before="55" w:line="333" w:lineRule="auto"/>
        <w:ind w:left="248" w:right="260"/>
        <w:jc w:val="both"/>
      </w:pPr>
      <w:r>
        <w:rPr>
          <w:spacing w:val="-5"/>
          <w:w w:val="95"/>
        </w:rPr>
        <w:t xml:space="preserve">况；资金支出进度情况；资金拨付和支出进度与项目建设进度匹 配情况；项目竣工后资产备案和产权登记情况；专项债券本息偿 还计划执行情况；项目收入、成本及预期收益的合理性；项目年 </w:t>
      </w:r>
      <w:r>
        <w:rPr>
          <w:spacing w:val="6"/>
          <w:w w:val="95"/>
        </w:rPr>
        <w:t xml:space="preserve">度收支平衡或项目全生命周期预期收益与专项债券规模匹配情 </w:t>
      </w:r>
      <w:r>
        <w:rPr>
          <w:spacing w:val="-5"/>
          <w:w w:val="95"/>
        </w:rPr>
        <w:t xml:space="preserve">况；专项债券期限与项目期限匹配情况等；专项债券项目信息公 开情况；外部监督发现问题整改情况；信息系统管理使用情况； </w:t>
      </w:r>
      <w:r>
        <w:rPr>
          <w:spacing w:val="-7"/>
        </w:rPr>
        <w:t>其他财务、采购和管理情况。</w:t>
      </w:r>
    </w:p>
    <w:p>
      <w:pPr>
        <w:spacing w:before="0" w:line="478" w:lineRule="exact"/>
        <w:ind w:left="848" w:right="0" w:firstLine="0"/>
        <w:jc w:val="left"/>
        <w:rPr>
          <w:sz w:val="32"/>
        </w:rPr>
      </w:pPr>
      <w:r>
        <w:rPr>
          <w:rFonts w:hint="eastAsia" w:ascii="Microsoft JhengHei" w:eastAsia="Microsoft JhengHei"/>
          <w:b/>
          <w:sz w:val="32"/>
        </w:rPr>
        <w:t>（三）项目产出情况分析。</w:t>
      </w:r>
      <w:r>
        <w:rPr>
          <w:sz w:val="32"/>
        </w:rPr>
        <w:t>项目形成资产情况；项目建设质</w:t>
      </w:r>
    </w:p>
    <w:p>
      <w:pPr>
        <w:pStyle w:val="4"/>
        <w:spacing w:before="86" w:line="333" w:lineRule="auto"/>
        <w:ind w:left="248" w:right="260"/>
        <w:jc w:val="both"/>
      </w:pPr>
      <w:r>
        <w:rPr>
          <w:spacing w:val="-5"/>
          <w:w w:val="95"/>
        </w:rPr>
        <w:t xml:space="preserve">量达标情况；项目建设进度情况；项目建设成本情况；考虑闲置 因素后债券资金实际成本情况；项目建成后提供公共产品和服务 </w:t>
      </w:r>
      <w:r>
        <w:rPr>
          <w:spacing w:val="-7"/>
        </w:rPr>
        <w:t>情况；项目运营成本情况等。</w:t>
      </w:r>
    </w:p>
    <w:p>
      <w:pPr>
        <w:spacing w:before="0" w:line="480" w:lineRule="exact"/>
        <w:ind w:left="848" w:right="0" w:firstLine="0"/>
        <w:jc w:val="left"/>
        <w:rPr>
          <w:sz w:val="32"/>
        </w:rPr>
      </w:pPr>
      <w:r>
        <w:rPr>
          <w:rFonts w:hint="eastAsia" w:ascii="Microsoft JhengHei" w:eastAsia="Microsoft JhengHei"/>
          <w:b/>
          <w:sz w:val="32"/>
        </w:rPr>
        <w:t>（四）项目效益情况分析。</w:t>
      </w:r>
      <w:r>
        <w:rPr>
          <w:sz w:val="32"/>
        </w:rPr>
        <w:t>项目综合效益实现情况；项目带</w:t>
      </w:r>
    </w:p>
    <w:p>
      <w:pPr>
        <w:pStyle w:val="4"/>
        <w:spacing w:before="86" w:line="333" w:lineRule="auto"/>
        <w:ind w:left="248" w:right="101"/>
      </w:pPr>
      <w:r>
        <w:rPr>
          <w:spacing w:val="-17"/>
          <w:w w:val="95"/>
        </w:rPr>
        <w:t xml:space="preserve">动社会有效投资情况；项目支持国家和省重大区域发展战略情况； </w:t>
      </w:r>
      <w:r>
        <w:rPr>
          <w:spacing w:val="-7"/>
        </w:rPr>
        <w:t>项目直接服务对象满意程度等。</w:t>
      </w:r>
    </w:p>
    <w:p>
      <w:pPr>
        <w:pStyle w:val="4"/>
        <w:numPr>
          <w:ilvl w:val="0"/>
          <w:numId w:val="3"/>
        </w:numPr>
        <w:spacing w:line="333" w:lineRule="auto"/>
        <w:ind w:left="848" w:right="2194"/>
        <w:rPr>
          <w:rFonts w:hint="eastAsia" w:ascii="黑体" w:eastAsia="黑体"/>
          <w:spacing w:val="-8"/>
          <w:w w:val="95"/>
        </w:rPr>
      </w:pPr>
      <w:r>
        <w:rPr>
          <w:rFonts w:hint="eastAsia" w:ascii="黑体" w:eastAsia="黑体"/>
          <w:spacing w:val="-8"/>
          <w:w w:val="95"/>
        </w:rPr>
        <w:t xml:space="preserve">主要经验及做法、存在的问题及原因分析 </w:t>
      </w:r>
    </w:p>
    <w:p>
      <w:pPr>
        <w:pStyle w:val="4"/>
        <w:numPr>
          <w:ilvl w:val="0"/>
          <w:numId w:val="0"/>
        </w:numPr>
        <w:spacing w:line="333" w:lineRule="auto"/>
        <w:ind w:right="2194" w:rightChars="0" w:firstLine="918" w:firstLineChars="300"/>
        <w:rPr>
          <w:rFonts w:hint="eastAsia" w:ascii="黑体" w:eastAsia="黑体"/>
        </w:rPr>
      </w:pPr>
      <w:r>
        <w:rPr>
          <w:rFonts w:hint="eastAsia" w:ascii="黑体" w:eastAsia="黑体"/>
          <w:spacing w:val="-7"/>
        </w:rPr>
        <w:t>六、下一步改进建议</w:t>
      </w:r>
    </w:p>
    <w:p>
      <w:pPr>
        <w:pStyle w:val="4"/>
        <w:spacing w:line="408" w:lineRule="exact"/>
        <w:ind w:left="848"/>
        <w:rPr>
          <w:rFonts w:hint="eastAsia" w:ascii="黑体" w:eastAsia="黑体"/>
        </w:rPr>
        <w:sectPr>
          <w:headerReference r:id="rId7" w:type="default"/>
          <w:footerReference r:id="rId8" w:type="default"/>
          <w:pgSz w:w="11911" w:h="16838"/>
          <w:pgMar w:top="1582" w:right="1242" w:bottom="278" w:left="1338" w:header="0" w:footer="0" w:gutter="0"/>
          <w:pgNumType w:fmt="decimal"/>
          <w:cols w:space="0" w:num="1"/>
          <w:rtlGutter w:val="0"/>
          <w:docGrid w:linePitch="319" w:charSpace="0"/>
        </w:sectPr>
      </w:pPr>
      <w:r>
        <w:rPr>
          <w:rFonts w:hint="eastAsia" w:ascii="黑体" w:eastAsia="黑体"/>
        </w:rPr>
        <w:t>七、其他需要说明的问题</w:t>
      </w:r>
    </w:p>
    <w:p>
      <w:pPr>
        <w:pStyle w:val="4"/>
        <w:spacing w:line="408" w:lineRule="exact"/>
        <w:ind w:left="848"/>
        <w:rPr>
          <w:rFonts w:hint="eastAsia" w:ascii="黑体" w:eastAsia="黑体"/>
        </w:rPr>
      </w:pPr>
    </w:p>
    <w:p>
      <w:pPr>
        <w:pStyle w:val="4"/>
        <w:spacing w:before="54"/>
        <w:ind w:left="248"/>
        <w:jc w:val="both"/>
        <w:rPr>
          <w:rFonts w:hint="eastAsia" w:ascii="黑体" w:eastAsia="黑体"/>
          <w:lang w:val="en-US" w:eastAsia="zh-CN"/>
        </w:rPr>
      </w:pPr>
      <w:r>
        <w:rPr>
          <w:rFonts w:hint="eastAsia" w:ascii="黑体" w:eastAsia="黑体"/>
          <w:lang w:val="en-US" w:eastAsia="zh-CN"/>
        </w:rPr>
        <w:t>附件5</w:t>
      </w:r>
    </w:p>
    <w:tbl>
      <w:tblPr>
        <w:tblStyle w:val="7"/>
        <w:tblW w:w="135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3720"/>
        <w:gridCol w:w="6207"/>
        <w:gridCol w:w="1005"/>
        <w:gridCol w:w="945"/>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353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淮北市专项债入库事前评估审核量化表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538" w:type="dxa"/>
            <w:gridSpan w:val="6"/>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38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项目名称（项目全称）：</w:t>
            </w:r>
          </w:p>
        </w:tc>
        <w:tc>
          <w:tcPr>
            <w:tcW w:w="9158" w:type="dxa"/>
            <w:gridSpan w:val="4"/>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评审人员：              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审核项</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详细内容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lang w:val="en-US" w:eastAsia="zh-CN" w:bidi="ar"/>
              </w:rPr>
              <w:t>分</w:t>
            </w:r>
            <w:r>
              <w:rPr>
                <w:rStyle w:val="14"/>
                <w:rFonts w:eastAsia="宋体"/>
                <w:lang w:val="en-US" w:eastAsia="zh-CN" w:bidi="ar"/>
              </w:rPr>
              <w:t xml:space="preserve"> </w:t>
            </w:r>
            <w:r>
              <w:rPr>
                <w:rStyle w:val="13"/>
                <w:lang w:val="en-US" w:eastAsia="zh-CN" w:bidi="ar"/>
              </w:rPr>
              <w:t>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13"/>
                <w:lang w:val="en-US" w:eastAsia="zh-CN" w:bidi="ar"/>
              </w:rPr>
              <w:t>得</w:t>
            </w:r>
            <w:r>
              <w:rPr>
                <w:rStyle w:val="14"/>
                <w:rFonts w:eastAsia="宋体"/>
                <w:lang w:val="en-US" w:eastAsia="zh-CN" w:bidi="ar"/>
              </w:rPr>
              <w:t xml:space="preserve"> </w:t>
            </w:r>
            <w:r>
              <w:rPr>
                <w:rStyle w:val="13"/>
                <w:lang w:val="en-US" w:eastAsia="zh-CN" w:bidi="ar"/>
              </w:rPr>
              <w:t>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量化评分合计</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项目政策方面</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项目实施必要性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是否符合国家法律法规、国民经济发展规划、行业发展规划和政策要求；是否与部门职责范围相符，属于部门履职所需；是否与相关部门同类项目或部门内部相关项目重复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项目实施公益性和收益性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是否属于政府性投资项目，是否属于专项债券支持的领域和方向，收益是否合法合规</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项目成熟度方面</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项目前期准备</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项目申报要件是否齐全（一案两书、事前绩效评估报告、立项批复、可研报告及批复、环评报告及批复、用地审批文件等）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实施方案可行性和建设投资合规性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实施方案的可行性、合规性、可操作性，资金到位后能否尽快形成实物工作量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项目基础保障条件</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主要指用地保障、职责权益是否明确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组织实施方案、措施和完成时限是否合理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实施方案是否详细、完整，措施是否可行，完成时限是否科学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不确定因素和风险是否可控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风险考虑是否充分，是否有控制方案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项目资金方面</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项目收入、成本、收益预测合理性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重点审核融资收益平衡预测结果是否合理，是否参照成熟方案，是否符合本地区实际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测算方法是否科学</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各项收入、成本、收益测算方法测算是否有依据、是否科学合理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债券资金需求合理性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项目申请债券额度是否经过科学论证，预期收益能否支撑债券需求规模，项目期限与债券发行期限是否匹配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项目资金来源和到位可行性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项目资本金是否足额安排可保障，资金到位可能性分析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是否超出财政可承受能力</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项目收益含土地相关收入、财政补贴收入的，本级财政综合财力是否可承受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投入方式是否最优</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审核项目资金投入结构是否合理，项目建设内容是否符合债券资金性质支出要求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投入成本与预期收益是否匹配</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预期收益是否有对应建设内容，是否有对应经营支出，是否高估收入、低估成本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项目偿债计划可行性</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项目偿债计划是否与本地区经济财政实力相匹配，是否有项目收益保障偿债的措施、管理办法</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偿债风险点</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偿债风险点分析是否全面、是否有详尽风险应对措施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绩效管理方面</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绩效目标是否明确、合理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绩效目标是否明确、清晰，绩效目标是否依据充分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绩效目标是否与相关规划及计划相符</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绩效目标与相关批复、规划、实施方案的匹配性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绩效指标是否细化、量化、可衡量</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依据绩效目标设定的绩效指标是否通过清晰、可衡量的指标值予以体现，是否能有效反映项目的预期产出、融资成本、偿债风险等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事前绩效评价是否客观、公正</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评价方法是否科学合理，论证程序是否规范完备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事前绩效报告和事前绩效评估综合得分表是否经过审核</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项目绩效目标、绩效评价是否经过项目主管部门指导、审核，是否经同级财政部门审定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eastAsia" w:ascii="黑体" w:eastAsia="黑体"/>
          <w:lang w:val="en-US" w:eastAsia="zh-CN"/>
        </w:rPr>
        <w:sectPr>
          <w:pgSz w:w="16838" w:h="11911" w:orient="landscape"/>
          <w:pgMar w:top="1338" w:right="1582" w:bottom="1338" w:left="1582" w:header="0" w:footer="0" w:gutter="0"/>
          <w:pgNumType w:fmt="decimal"/>
          <w:cols w:space="0" w:num="1"/>
          <w:rtlGutter w:val="0"/>
          <w:docGrid w:linePitch="319" w:charSpace="0"/>
        </w:sectPr>
      </w:pPr>
    </w:p>
    <w:p>
      <w:pPr>
        <w:pStyle w:val="4"/>
        <w:spacing w:before="54"/>
        <w:ind w:left="248"/>
        <w:jc w:val="both"/>
        <w:rPr>
          <w:rFonts w:hint="eastAsia" w:ascii="黑体" w:eastAsia="黑体"/>
          <w:lang w:val="en-US" w:eastAsia="zh-CN"/>
        </w:rPr>
      </w:pPr>
      <w:r>
        <w:rPr>
          <w:rFonts w:hint="eastAsia" w:ascii="黑体" w:eastAsia="黑体"/>
          <w:lang w:val="en-US" w:eastAsia="zh-CN"/>
        </w:rPr>
        <w:t>附件6</w:t>
      </w:r>
    </w:p>
    <w:tbl>
      <w:tblPr>
        <w:tblStyle w:val="7"/>
        <w:tblW w:w="14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768"/>
        <w:gridCol w:w="1185"/>
        <w:gridCol w:w="1395"/>
        <w:gridCol w:w="5625"/>
        <w:gridCol w:w="705"/>
        <w:gridCol w:w="810"/>
        <w:gridCol w:w="840"/>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406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绩效评价量化评分表（建设期评分表）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060" w:type="dxa"/>
            <w:gridSpan w:val="9"/>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指标评价内容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项目是否属于政府投资项目，是否符合专项债券支持领域和方向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项目是否与相关部门同类项目或部门内部相关项目重复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事前是否已经过必要的勘察、设计、可行性研究、专家论证、风险评估、绩效评估、集体决策</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项目立项、可研、用地、环评、开工许可是否符合相关要求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项目绩效目标与实际工作内容上是否有相关性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是否与项目投资额或资金量相匹配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是否经过清晰、可衡量的指标值予以体现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申请额度与需要的匹配性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申请使用债券资金是否经过科学论证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申请使用债券资金与项目性质、内容是否合理匹配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申请使用债券额度测算依据是否充分，是否按照标准测算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申请债券额度是否与工作任务相匹配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预算覆盖率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专项债券收支，还本付息及专项收入是否纳入政府性基金预算管理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资金使用合理性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是否符合国家财经法规和财务管理制度以及相关专项资金管理规定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资金拨付是否有完整的审批程序和手续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是否符合专项债券投向的规定及项目有关批复规定的用途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是否存在截留、挤占、挪用情况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债券支出进度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支出进度是否按项目建设进度拨款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债券资金在规定期限内是否及时支出完毕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资产管理合理性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是否按照相关规定履行项目竣工后资产备案和产权登记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项目实施规范性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是否严格按专项债券本息偿还计划还本付息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项目收入、成本及预期收益是否合理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项目是否实现年度收支平衡或项目全生命周期预期收益与专项债规模是否匹配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专项债券期限与项目期限是否匹配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是否按照有关规定及时、规范公开项目有关信息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信息系统管理使用是否规范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对外部监督发现问题是否及时、有效地予以整改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其他财务、采购和管理工作是否合法合规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实际完成率（实际形成资产数/计划形成资产数*100%）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按完成率情况打分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产出质量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质量达标率（质量达标产出数/实际产出数*100%）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按达标率情况打分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完成及时性</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是否感觉项目实施方案或相关规定按时完成该项目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成本节约率</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建设成本节约率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实际建设/运营成本小于计划成本得分，大于不得分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运营成本节约率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5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pStyle w:val="4"/>
        <w:spacing w:before="54"/>
        <w:ind w:left="248"/>
        <w:jc w:val="both"/>
        <w:rPr>
          <w:rFonts w:hint="eastAsia" w:ascii="黑体" w:eastAsia="黑体"/>
          <w:lang w:val="en-US" w:eastAsia="zh-CN"/>
        </w:rPr>
      </w:pPr>
    </w:p>
    <w:p>
      <w:pPr>
        <w:pStyle w:val="4"/>
        <w:spacing w:before="54"/>
        <w:ind w:left="248"/>
        <w:jc w:val="both"/>
        <w:rPr>
          <w:rFonts w:hint="eastAsia" w:ascii="黑体" w:eastAsia="黑体"/>
          <w:lang w:val="en-US" w:eastAsia="zh-CN"/>
        </w:rPr>
      </w:pPr>
    </w:p>
    <w:p>
      <w:pPr>
        <w:pStyle w:val="4"/>
        <w:spacing w:before="54"/>
        <w:ind w:left="248"/>
        <w:jc w:val="both"/>
        <w:rPr>
          <w:rFonts w:hint="eastAsia" w:ascii="黑体" w:eastAsia="黑体"/>
          <w:lang w:val="en-US" w:eastAsia="zh-CN"/>
        </w:rPr>
      </w:pPr>
    </w:p>
    <w:p>
      <w:pPr>
        <w:pStyle w:val="4"/>
        <w:spacing w:before="54"/>
        <w:ind w:left="248"/>
        <w:jc w:val="both"/>
        <w:rPr>
          <w:rFonts w:hint="eastAsia" w:ascii="黑体" w:eastAsia="黑体"/>
          <w:lang w:val="en-US" w:eastAsia="zh-CN"/>
        </w:rPr>
      </w:pPr>
      <w:r>
        <w:rPr>
          <w:rFonts w:hint="eastAsia" w:ascii="黑体" w:eastAsia="黑体"/>
          <w:lang w:val="en-US" w:eastAsia="zh-CN"/>
        </w:rPr>
        <w:t>附件7</w:t>
      </w:r>
    </w:p>
    <w:tbl>
      <w:tblPr>
        <w:tblStyle w:val="7"/>
        <w:tblW w:w="15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80"/>
        <w:gridCol w:w="1080"/>
        <w:gridCol w:w="1695"/>
        <w:gridCol w:w="6123"/>
        <w:gridCol w:w="825"/>
        <w:gridCol w:w="795"/>
        <w:gridCol w:w="660"/>
        <w:gridCol w:w="2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26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绩效评价量化评分表（运营期评分表）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1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指标评价内容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预算覆盖率</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专项债券收支，还本付息及专项收入是否纳入政府性基金预算管理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资金使用合理性</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是否符合国家财经法规和财务管理制度以及相关专项资金管理规定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资金拨付是否有完整的审批程序和手续</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是否符合专项债券投向的规定及项目有关批复规定的用途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是否存在截留、挤占、挪用情况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债券支出进度</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支出进度是否按项目建设进度拨款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债券资金在规定期限内是否及时支出完毕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资产管理合理性</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是否按照相关规定履行项目竣工后资产备案和产权登记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项目实施规范性</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是否严格按专项债券本息偿还计划还本付息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项目收入、成本及预期收益是否合理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项目是否实现年度收支平衡或项目全生命周期预期收益与专项债规模是否匹配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专项债券期限与项目期限是否匹配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是否按照有关规定及时、规范公开项目有关信息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信息系统管理使用是否规范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对外部监督发现问题是否及时、有效地予以整改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其他财务、采购和管理工作是否合法合规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实际完成率</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实际完成率（实际形成资产数/计划形成资产数*100%）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完成率100%满分，不满100%按比例扣分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产出质量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质量达标率（质量达标产出数/实际产出数*100%）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达标率100%满分，不满100%按比例扣分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完成及时性</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是否在项目实施方案或相关规定完成该项目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是满分，否不得分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成本节约率</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建设成本节约率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10%以上满分，1%-10%按比例得分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运营成本节约率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10%以上满分，1%-11%按比例得分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项目效益</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612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是否科学合理编制项目收入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是得分，否不得分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收入预算完成率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完成率100%满分，不满100%按比例扣分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收入完成比实施方案中计划完成率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完成率100%满分，不满100%按比例扣分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社会效益产生情况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达到预期满分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生态效益影响情况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对生态环境未带来影响得分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其他效益方面</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如项目带动社会有效投资情况；项目支持国家和省重大区域发展战略情况等，可根据项目实际情况有选择设置和细化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项目直接服务对象是指因该项目直接受到影响的部门、群体或个人，一般采取社会调查的方式。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90%以上满分</w:t>
            </w:r>
          </w:p>
        </w:tc>
      </w:tr>
    </w:tbl>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p>
    <w:p>
      <w:pPr>
        <w:pStyle w:val="4"/>
        <w:spacing w:before="54"/>
        <w:ind w:left="248"/>
        <w:jc w:val="both"/>
        <w:rPr>
          <w:rFonts w:hint="default" w:ascii="黑体" w:eastAsia="黑体"/>
          <w:lang w:val="en-US" w:eastAsia="zh-CN"/>
        </w:rPr>
      </w:pPr>
      <w:r>
        <w:rPr>
          <w:rFonts w:hint="default" w:ascii="黑体" w:eastAsia="黑体"/>
          <w:lang w:val="en-US" w:eastAsia="zh-CN"/>
        </w:rPr>
        <w:t>附件8</w:t>
      </w:r>
    </w:p>
    <w:tbl>
      <w:tblPr>
        <w:tblStyle w:val="7"/>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827"/>
        <w:gridCol w:w="839"/>
        <w:gridCol w:w="826"/>
        <w:gridCol w:w="776"/>
        <w:gridCol w:w="802"/>
        <w:gridCol w:w="840"/>
        <w:gridCol w:w="916"/>
        <w:gridCol w:w="668"/>
        <w:gridCol w:w="609"/>
        <w:gridCol w:w="730"/>
        <w:gridCol w:w="738"/>
        <w:gridCol w:w="711"/>
        <w:gridCol w:w="789"/>
        <w:gridCol w:w="711"/>
        <w:gridCol w:w="701"/>
        <w:gridCol w:w="699"/>
        <w:gridCol w:w="802"/>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14160"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建设项目建设进度表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269"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填表单位（盖章）：                      填表人：                 联系电话：</w:t>
            </w:r>
          </w:p>
        </w:tc>
        <w:tc>
          <w:tcPr>
            <w:tcW w:w="73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建设项目内容</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总投资计划金额（万元）</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已累计完成投资（万元）</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专项债券累计发行金额（万元）</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其中专项债已累计支出（万元）</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累计完成投资进度（%）</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专项债券累计支出进度（%）</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项目竣工预计时间（年月）</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预计是否按时竣工</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当年年计划安排</w:t>
            </w:r>
          </w:p>
        </w:tc>
        <w:tc>
          <w:tcPr>
            <w:tcW w:w="2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季度计划安排</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下季度计划安排</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工程进度内容计划</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工程投资计划（万元）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工程进度内容计划</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工程投资计划（万元）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工程进度完成</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工程投资完成（万元）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工程进度内容计划</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工程投资计划（万元）</w:t>
            </w: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4"/>
        <w:spacing w:before="54"/>
        <w:ind w:left="248"/>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填报说明：</w:t>
      </w:r>
    </w:p>
    <w:p>
      <w:pPr>
        <w:pStyle w:val="4"/>
        <w:spacing w:before="54"/>
        <w:ind w:left="248"/>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1：第1列根据申报材料实施方案中的建设内容填列；</w:t>
      </w:r>
    </w:p>
    <w:p>
      <w:pPr>
        <w:pStyle w:val="4"/>
        <w:spacing w:before="54"/>
        <w:ind w:left="248"/>
        <w:jc w:val="both"/>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2：第10、12、16列写明项目计划完成的建设内容，第14列文字说明已建设完成的建设内容（尽量用完成的实物量化和建设进度表述）。</w:t>
      </w:r>
    </w:p>
    <w:p>
      <w:pPr>
        <w:pStyle w:val="4"/>
        <w:spacing w:before="54"/>
        <w:ind w:left="248"/>
        <w:jc w:val="both"/>
        <w:rPr>
          <w:rFonts w:hint="eastAsia" w:ascii="黑体" w:eastAsia="黑体"/>
          <w:lang w:val="en-US" w:eastAsia="zh-CN"/>
        </w:rPr>
        <w:sectPr>
          <w:pgSz w:w="16838" w:h="11911" w:orient="landscape"/>
          <w:pgMar w:top="1338" w:right="1582" w:bottom="1338" w:left="1582" w:header="0" w:footer="0" w:gutter="0"/>
          <w:pgNumType w:fmt="decimal"/>
          <w:cols w:space="0" w:num="1"/>
          <w:rtlGutter w:val="0"/>
          <w:docGrid w:linePitch="319" w:charSpace="0"/>
        </w:sectPr>
      </w:pPr>
    </w:p>
    <w:p>
      <w:pPr>
        <w:pStyle w:val="4"/>
        <w:spacing w:before="54"/>
        <w:ind w:left="248"/>
        <w:jc w:val="both"/>
        <w:rPr>
          <w:rFonts w:hint="eastAsia" w:ascii="黑体" w:eastAsia="黑体"/>
          <w:lang w:val="en-US" w:eastAsia="zh-CN"/>
        </w:rPr>
      </w:pPr>
      <w:r>
        <w:rPr>
          <w:rFonts w:hint="eastAsia" w:ascii="黑体" w:eastAsia="黑体"/>
          <w:lang w:val="en-US" w:eastAsia="zh-CN"/>
        </w:rPr>
        <w:t>附件9</w:t>
      </w:r>
    </w:p>
    <w:tbl>
      <w:tblPr>
        <w:tblStyle w:val="7"/>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716"/>
        <w:gridCol w:w="868"/>
        <w:gridCol w:w="868"/>
        <w:gridCol w:w="988"/>
        <w:gridCol w:w="759"/>
        <w:gridCol w:w="790"/>
        <w:gridCol w:w="669"/>
        <w:gridCol w:w="685"/>
        <w:gridCol w:w="519"/>
        <w:gridCol w:w="803"/>
        <w:gridCol w:w="715"/>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038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专项债项目运营收益和成本情况表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0380" w:type="dxa"/>
            <w:gridSpan w:val="13"/>
            <w:tcBorders>
              <w:top w:val="nil"/>
              <w:left w:val="nil"/>
              <w:bottom w:val="nil"/>
              <w:right w:val="nil"/>
            </w:tcBorders>
            <w:shd w:val="clear" w:color="auto" w:fill="auto"/>
            <w:vAlign w:val="center"/>
          </w:tcPr>
          <w:p>
            <w:pPr>
              <w:pStyle w:val="4"/>
              <w:spacing w:before="54"/>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填表单位（盖章）：      </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填表人：     </w:t>
            </w: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联系电话</w:t>
            </w:r>
            <w:r>
              <w:rPr>
                <w:rFonts w:hint="eastAsia"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单位：万元或%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jc w:val="center"/>
        </w:trPr>
        <w:tc>
          <w:tcPr>
            <w:tcW w:w="495" w:type="dxa"/>
            <w:tcBorders>
              <w:top w:val="double" w:color="000000" w:sz="4" w:space="0"/>
              <w:left w:val="doub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w:t>
            </w:r>
          </w:p>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16"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收入/成本/利润项目</w:t>
            </w:r>
          </w:p>
        </w:tc>
        <w:tc>
          <w:tcPr>
            <w:tcW w:w="86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实施方案预计</w:t>
            </w:r>
          </w:p>
        </w:tc>
        <w:tc>
          <w:tcPr>
            <w:tcW w:w="86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当年收入完成</w:t>
            </w:r>
          </w:p>
        </w:tc>
        <w:tc>
          <w:tcPr>
            <w:tcW w:w="98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已缴入国库</w:t>
            </w:r>
          </w:p>
        </w:tc>
        <w:tc>
          <w:tcPr>
            <w:tcW w:w="759"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已缴入专户</w:t>
            </w:r>
          </w:p>
        </w:tc>
        <w:tc>
          <w:tcPr>
            <w:tcW w:w="790"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累计收入实现情况</w:t>
            </w:r>
          </w:p>
        </w:tc>
        <w:tc>
          <w:tcPr>
            <w:tcW w:w="669"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已缴入国库</w:t>
            </w:r>
          </w:p>
        </w:tc>
        <w:tc>
          <w:tcPr>
            <w:tcW w:w="685"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已缴入专户</w:t>
            </w:r>
          </w:p>
        </w:tc>
        <w:tc>
          <w:tcPr>
            <w:tcW w:w="2542" w:type="dxa"/>
            <w:gridSpan w:val="4"/>
            <w:tcBorders>
              <w:top w:val="double" w:color="000000" w:sz="4" w:space="0"/>
              <w:left w:val="single" w:color="000000" w:sz="4" w:space="0"/>
              <w:bottom w:val="nil"/>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2211" w:type="dxa"/>
            <w:gridSpan w:val="2"/>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gridSpan w:val="4"/>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gridSpan w:val="4"/>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42" w:type="dxa"/>
            <w:gridSpan w:val="4"/>
            <w:tcBorders>
              <w:top w:val="single" w:color="000000" w:sz="4" w:space="0"/>
              <w:left w:val="single" w:color="000000" w:sz="4" w:space="0"/>
              <w:bottom w:val="doub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jc w:val="center"/>
        </w:trPr>
        <w:tc>
          <w:tcPr>
            <w:tcW w:w="495" w:type="dxa"/>
            <w:tcBorders>
              <w:top w:val="nil"/>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建设成本项目</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计划建设成本</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实际建设成本</w:t>
            </w:r>
          </w:p>
        </w:tc>
        <w:tc>
          <w:tcPr>
            <w:tcW w:w="9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建设成本节约率</w:t>
            </w:r>
          </w:p>
        </w:tc>
        <w:tc>
          <w:tcPr>
            <w:tcW w:w="7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形成资产数（个）</w:t>
            </w:r>
          </w:p>
        </w:tc>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是否资产备案</w:t>
            </w:r>
          </w:p>
        </w:tc>
        <w:tc>
          <w:tcPr>
            <w:tcW w:w="6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产权登记原值</w:t>
            </w:r>
          </w:p>
        </w:tc>
        <w:tc>
          <w:tcPr>
            <w:tcW w:w="3227" w:type="dxa"/>
            <w:gridSpan w:val="5"/>
            <w:tcBorders>
              <w:top w:val="nil"/>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2211" w:type="dxa"/>
            <w:gridSpan w:val="2"/>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7" w:type="dxa"/>
            <w:gridSpan w:val="5"/>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7" w:type="dxa"/>
            <w:gridSpan w:val="5"/>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7" w:type="dxa"/>
            <w:gridSpan w:val="5"/>
            <w:tcBorders>
              <w:top w:val="single" w:color="000000" w:sz="4" w:space="0"/>
              <w:left w:val="single" w:color="000000" w:sz="4" w:space="0"/>
              <w:bottom w:val="doub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495" w:type="dxa"/>
            <w:tcBorders>
              <w:top w:val="nil"/>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1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运营成本项目合计</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计划运营成本</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实际运营成本</w:t>
            </w:r>
          </w:p>
        </w:tc>
        <w:tc>
          <w:tcPr>
            <w:tcW w:w="9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运营成本节约率</w:t>
            </w:r>
          </w:p>
        </w:tc>
        <w:tc>
          <w:tcPr>
            <w:tcW w:w="5445" w:type="dxa"/>
            <w:gridSpan w:val="8"/>
            <w:tcBorders>
              <w:top w:val="nil"/>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2211" w:type="dxa"/>
            <w:gridSpan w:val="2"/>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nil"/>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doub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495" w:type="dxa"/>
            <w:tcBorders>
              <w:top w:val="nil"/>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17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利润实现情况</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实施方案计划</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当年实际完成</w:t>
            </w:r>
          </w:p>
        </w:tc>
        <w:tc>
          <w:tcPr>
            <w:tcW w:w="9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偏差率</w:t>
            </w:r>
          </w:p>
        </w:tc>
        <w:tc>
          <w:tcPr>
            <w:tcW w:w="5445" w:type="dxa"/>
            <w:gridSpan w:val="8"/>
            <w:tcBorders>
              <w:top w:val="nil"/>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利润总额</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净利润</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495" w:type="dxa"/>
            <w:tcBorders>
              <w:top w:val="single" w:color="000000" w:sz="4" w:space="0"/>
              <w:left w:val="doub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经营活动净现金流量</w:t>
            </w:r>
          </w:p>
        </w:tc>
        <w:tc>
          <w:tcPr>
            <w:tcW w:w="8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45" w:type="dxa"/>
            <w:gridSpan w:val="8"/>
            <w:tcBorders>
              <w:top w:val="single" w:color="000000" w:sz="4" w:space="0"/>
              <w:left w:val="single" w:color="000000" w:sz="4" w:space="0"/>
              <w:bottom w:val="nil"/>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495" w:type="dxa"/>
            <w:vMerge w:val="restart"/>
            <w:tcBorders>
              <w:top w:val="doub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1716" w:type="dxa"/>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专项债融资情况</w:t>
            </w:r>
          </w:p>
        </w:tc>
        <w:tc>
          <w:tcPr>
            <w:tcW w:w="3483" w:type="dxa"/>
            <w:gridSpan w:val="4"/>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发行情况</w:t>
            </w:r>
          </w:p>
        </w:tc>
        <w:tc>
          <w:tcPr>
            <w:tcW w:w="2144" w:type="dxa"/>
            <w:gridSpan w:val="3"/>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还本付息总额</w:t>
            </w:r>
          </w:p>
        </w:tc>
        <w:tc>
          <w:tcPr>
            <w:tcW w:w="2037" w:type="dxa"/>
            <w:gridSpan w:val="3"/>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已偿还本息资金来源情况</w:t>
            </w:r>
          </w:p>
        </w:tc>
        <w:tc>
          <w:tcPr>
            <w:tcW w:w="505" w:type="dxa"/>
            <w:tcBorders>
              <w:top w:val="double" w:color="000000" w:sz="4" w:space="0"/>
              <w:left w:val="nil"/>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495" w:type="dxa"/>
            <w:vMerge w:val="continue"/>
            <w:tcBorders>
              <w:top w:val="doub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6"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发行时间</w:t>
            </w:r>
          </w:p>
        </w:tc>
        <w:tc>
          <w:tcPr>
            <w:tcW w:w="86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发行金额</w:t>
            </w:r>
          </w:p>
        </w:tc>
        <w:tc>
          <w:tcPr>
            <w:tcW w:w="988"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期限(年)</w:t>
            </w:r>
          </w:p>
        </w:tc>
        <w:tc>
          <w:tcPr>
            <w:tcW w:w="759" w:type="dxa"/>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利率（%）</w:t>
            </w:r>
          </w:p>
        </w:tc>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本金</w:t>
            </w:r>
          </w:p>
        </w:tc>
        <w:tc>
          <w:tcPr>
            <w:tcW w:w="6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利息</w:t>
            </w:r>
          </w:p>
        </w:tc>
        <w:tc>
          <w:tcPr>
            <w:tcW w:w="519"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项目收入</w:t>
            </w:r>
          </w:p>
        </w:tc>
        <w:tc>
          <w:tcPr>
            <w:tcW w:w="71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财政垫付</w:t>
            </w:r>
          </w:p>
        </w:tc>
        <w:tc>
          <w:tcPr>
            <w:tcW w:w="505" w:type="dxa"/>
            <w:tcBorders>
              <w:top w:val="nil"/>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9"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9"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49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9"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4"/>
        <w:spacing w:before="54"/>
        <w:ind w:left="248"/>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填报说明：</w:t>
      </w:r>
    </w:p>
    <w:p>
      <w:pPr>
        <w:pStyle w:val="4"/>
        <w:spacing w:before="54"/>
        <w:ind w:left="248"/>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1：经营收入、建设成本、运营成本项主要根据实施方案测算项目项填列，测算项以外项目请备注；</w:t>
      </w:r>
    </w:p>
    <w:p>
      <w:pPr>
        <w:pStyle w:val="4"/>
        <w:spacing w:before="54"/>
        <w:ind w:left="248"/>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2：本表为半年报表，分别在7月份和次年1月份20日之前报送。</w:t>
      </w:r>
    </w:p>
    <w:sectPr>
      <w:pgSz w:w="11911" w:h="16838"/>
      <w:pgMar w:top="1582" w:right="1242" w:bottom="278" w:left="1338" w:header="0" w:footer="0" w:gutter="0"/>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6276975</wp:posOffset>
              </wp:positionH>
              <wp:positionV relativeFrom="page">
                <wp:posOffset>9781540</wp:posOffset>
              </wp:positionV>
              <wp:extent cx="38100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1000" cy="203200"/>
                      </a:xfrm>
                      <a:prstGeom prst="rect">
                        <a:avLst/>
                      </a:prstGeom>
                      <a:noFill/>
                      <a:ln>
                        <a:noFill/>
                      </a:ln>
                    </wps:spPr>
                    <wps:txbx>
                      <w:txbxContent>
                        <w:p>
                          <w:pPr>
                            <w:spacing w:before="0" w:line="320" w:lineRule="exact"/>
                            <w:ind w:left="20" w:right="0" w:firstLine="0"/>
                            <w:jc w:val="left"/>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wps:txbx>
                    <wps:bodyPr lIns="0" tIns="0" rIns="0" bIns="0" upright="1"/>
                  </wps:wsp>
                </a:graphicData>
              </a:graphic>
            </wp:anchor>
          </w:drawing>
        </mc:Choice>
        <mc:Fallback>
          <w:pict>
            <v:shape id="_x0000_s1026" o:spid="_x0000_s1026" o:spt="202" type="#_x0000_t202" style="position:absolute;left:0pt;margin-left:494.25pt;margin-top:770.2pt;height:16pt;width:30pt;mso-position-horizontal-relative:page;mso-position-vertical-relative:page;z-index:-251656192;mso-width-relative:page;mso-height-relative:page;" filled="f" stroked="f" coordsize="21600,21600" o:gfxdata="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btDjaAAAADgEAAA8AAAAAAAAAAQAgAAAAIgAAAGRycy9kb3ducmV2LnhtbFBLAQIU&#10;ABQAAAAIAIdO4kCWSk0iuAEAAHEDAAAOAAAAAAAAAAEAIAAAACkBAABkcnMvZTJvRG9jLnhtbFBL&#10;BQYAAAAABgAGAFkBAABTBQAAAAA=&#10;">
              <v:fill on="f" focussize="0,0"/>
              <v:stroke on="f"/>
              <v:imagedata o:title=""/>
              <o:lock v:ext="edit" aspectratio="f"/>
              <v:textbox inset="0mm,0mm,0mm,0mm">
                <w:txbxContent>
                  <w:p>
                    <w:pPr>
                      <w:spacing w:before="0" w:line="320" w:lineRule="exact"/>
                      <w:ind w:left="20" w:right="0" w:firstLine="0"/>
                      <w:jc w:val="left"/>
                      <w:rPr>
                        <w:sz w:val="28"/>
                      </w:rPr>
                    </w:pPr>
                    <w:r>
                      <w:rPr>
                        <w:sz w:val="28"/>
                      </w:rPr>
                      <w:t>-</w:t>
                    </w:r>
                    <w:r>
                      <w:fldChar w:fldCharType="begin"/>
                    </w:r>
                    <w:r>
                      <w:rPr>
                        <w:sz w:val="28"/>
                      </w:rPr>
                      <w:instrText xml:space="preserve"> PAGE </w:instrText>
                    </w:r>
                    <w:r>
                      <w:fldChar w:fldCharType="separate"/>
                    </w:r>
                    <w:r>
                      <w:t>11</w:t>
                    </w:r>
                    <w:r>
                      <w:fldChar w:fldCharType="end"/>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54" w:hanging="319"/>
        <w:jc w:val="left"/>
      </w:pPr>
      <w:rPr>
        <w:rFonts w:hint="default" w:ascii="宋体" w:hAnsi="宋体" w:eastAsia="宋体" w:cs="宋体"/>
        <w:spacing w:val="-4"/>
        <w:w w:val="99"/>
        <w:sz w:val="30"/>
        <w:szCs w:val="30"/>
      </w:rPr>
    </w:lvl>
    <w:lvl w:ilvl="1" w:tentative="0">
      <w:start w:val="0"/>
      <w:numFmt w:val="bullet"/>
      <w:lvlText w:val="•"/>
      <w:lvlJc w:val="left"/>
      <w:pPr>
        <w:ind w:left="1872" w:hanging="319"/>
      </w:pPr>
      <w:rPr>
        <w:rFonts w:hint="default"/>
      </w:rPr>
    </w:lvl>
    <w:lvl w:ilvl="2" w:tentative="0">
      <w:start w:val="0"/>
      <w:numFmt w:val="bullet"/>
      <w:lvlText w:val="•"/>
      <w:lvlJc w:val="left"/>
      <w:pPr>
        <w:ind w:left="2685" w:hanging="319"/>
      </w:pPr>
      <w:rPr>
        <w:rFonts w:hint="default"/>
      </w:rPr>
    </w:lvl>
    <w:lvl w:ilvl="3" w:tentative="0">
      <w:start w:val="0"/>
      <w:numFmt w:val="bullet"/>
      <w:lvlText w:val="•"/>
      <w:lvlJc w:val="left"/>
      <w:pPr>
        <w:ind w:left="3497" w:hanging="319"/>
      </w:pPr>
      <w:rPr>
        <w:rFonts w:hint="default"/>
      </w:rPr>
    </w:lvl>
    <w:lvl w:ilvl="4" w:tentative="0">
      <w:start w:val="0"/>
      <w:numFmt w:val="bullet"/>
      <w:lvlText w:val="•"/>
      <w:lvlJc w:val="left"/>
      <w:pPr>
        <w:ind w:left="4310" w:hanging="319"/>
      </w:pPr>
      <w:rPr>
        <w:rFonts w:hint="default"/>
      </w:rPr>
    </w:lvl>
    <w:lvl w:ilvl="5" w:tentative="0">
      <w:start w:val="0"/>
      <w:numFmt w:val="bullet"/>
      <w:lvlText w:val="•"/>
      <w:lvlJc w:val="left"/>
      <w:pPr>
        <w:ind w:left="5123" w:hanging="319"/>
      </w:pPr>
      <w:rPr>
        <w:rFonts w:hint="default"/>
      </w:rPr>
    </w:lvl>
    <w:lvl w:ilvl="6" w:tentative="0">
      <w:start w:val="0"/>
      <w:numFmt w:val="bullet"/>
      <w:lvlText w:val="•"/>
      <w:lvlJc w:val="left"/>
      <w:pPr>
        <w:ind w:left="5935" w:hanging="319"/>
      </w:pPr>
      <w:rPr>
        <w:rFonts w:hint="default"/>
      </w:rPr>
    </w:lvl>
    <w:lvl w:ilvl="7" w:tentative="0">
      <w:start w:val="0"/>
      <w:numFmt w:val="bullet"/>
      <w:lvlText w:val="•"/>
      <w:lvlJc w:val="left"/>
      <w:pPr>
        <w:ind w:left="6748" w:hanging="319"/>
      </w:pPr>
      <w:rPr>
        <w:rFonts w:hint="default"/>
      </w:rPr>
    </w:lvl>
    <w:lvl w:ilvl="8" w:tentative="0">
      <w:start w:val="0"/>
      <w:numFmt w:val="bullet"/>
      <w:lvlText w:val="•"/>
      <w:lvlJc w:val="left"/>
      <w:pPr>
        <w:ind w:left="7560" w:hanging="319"/>
      </w:pPr>
      <w:rPr>
        <w:rFonts w:hint="default"/>
      </w:rPr>
    </w:lvl>
  </w:abstractNum>
  <w:abstractNum w:abstractNumId="1">
    <w:nsid w:val="0E22FD0C"/>
    <w:multiLevelType w:val="singleLevel"/>
    <w:tmpl w:val="0E22FD0C"/>
    <w:lvl w:ilvl="0" w:tentative="0">
      <w:start w:val="5"/>
      <w:numFmt w:val="chineseCounting"/>
      <w:suff w:val="nothing"/>
      <w:lvlText w:val="%1、"/>
      <w:lvlJc w:val="left"/>
      <w:rPr>
        <w:rFonts w:hint="eastAsia"/>
      </w:rPr>
    </w:lvl>
  </w:abstractNum>
  <w:abstractNum w:abstractNumId="2">
    <w:nsid w:val="59ADCABA"/>
    <w:multiLevelType w:val="multilevel"/>
    <w:tmpl w:val="59ADCABA"/>
    <w:lvl w:ilvl="0" w:tentative="0">
      <w:start w:val="1"/>
      <w:numFmt w:val="decimal"/>
      <w:lvlText w:val="%1."/>
      <w:lvlJc w:val="left"/>
      <w:pPr>
        <w:ind w:left="3483" w:hanging="150"/>
        <w:jc w:val="left"/>
      </w:pPr>
      <w:rPr>
        <w:rFonts w:hint="default" w:ascii="宋体" w:hAnsi="宋体" w:eastAsia="宋体" w:cs="宋体"/>
        <w:w w:val="98"/>
        <w:sz w:val="13"/>
        <w:szCs w:val="13"/>
      </w:rPr>
    </w:lvl>
    <w:lvl w:ilvl="1" w:tentative="0">
      <w:start w:val="0"/>
      <w:numFmt w:val="bullet"/>
      <w:lvlText w:val="•"/>
      <w:lvlJc w:val="left"/>
      <w:pPr>
        <w:ind w:left="3900" w:hanging="150"/>
      </w:pPr>
      <w:rPr>
        <w:rFonts w:hint="default"/>
      </w:rPr>
    </w:lvl>
    <w:lvl w:ilvl="2" w:tentative="0">
      <w:start w:val="0"/>
      <w:numFmt w:val="bullet"/>
      <w:lvlText w:val="•"/>
      <w:lvlJc w:val="left"/>
      <w:pPr>
        <w:ind w:left="4321" w:hanging="150"/>
      </w:pPr>
      <w:rPr>
        <w:rFonts w:hint="default"/>
      </w:rPr>
    </w:lvl>
    <w:lvl w:ilvl="3" w:tentative="0">
      <w:start w:val="0"/>
      <w:numFmt w:val="bullet"/>
      <w:lvlText w:val="•"/>
      <w:lvlJc w:val="left"/>
      <w:pPr>
        <w:ind w:left="4741" w:hanging="150"/>
      </w:pPr>
      <w:rPr>
        <w:rFonts w:hint="default"/>
      </w:rPr>
    </w:lvl>
    <w:lvl w:ilvl="4" w:tentative="0">
      <w:start w:val="0"/>
      <w:numFmt w:val="bullet"/>
      <w:lvlText w:val="•"/>
      <w:lvlJc w:val="left"/>
      <w:pPr>
        <w:ind w:left="5162" w:hanging="150"/>
      </w:pPr>
      <w:rPr>
        <w:rFonts w:hint="default"/>
      </w:rPr>
    </w:lvl>
    <w:lvl w:ilvl="5" w:tentative="0">
      <w:start w:val="0"/>
      <w:numFmt w:val="bullet"/>
      <w:lvlText w:val="•"/>
      <w:lvlJc w:val="left"/>
      <w:pPr>
        <w:ind w:left="5583" w:hanging="150"/>
      </w:pPr>
      <w:rPr>
        <w:rFonts w:hint="default"/>
      </w:rPr>
    </w:lvl>
    <w:lvl w:ilvl="6" w:tentative="0">
      <w:start w:val="0"/>
      <w:numFmt w:val="bullet"/>
      <w:lvlText w:val="•"/>
      <w:lvlJc w:val="left"/>
      <w:pPr>
        <w:ind w:left="6003" w:hanging="150"/>
      </w:pPr>
      <w:rPr>
        <w:rFonts w:hint="default"/>
      </w:rPr>
    </w:lvl>
    <w:lvl w:ilvl="7" w:tentative="0">
      <w:start w:val="0"/>
      <w:numFmt w:val="bullet"/>
      <w:lvlText w:val="•"/>
      <w:lvlJc w:val="left"/>
      <w:pPr>
        <w:ind w:left="6424" w:hanging="150"/>
      </w:pPr>
      <w:rPr>
        <w:rFonts w:hint="default"/>
      </w:rPr>
    </w:lvl>
    <w:lvl w:ilvl="8" w:tentative="0">
      <w:start w:val="0"/>
      <w:numFmt w:val="bullet"/>
      <w:lvlText w:val="•"/>
      <w:lvlJc w:val="left"/>
      <w:pPr>
        <w:ind w:left="6844" w:hanging="15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NmExZDY0M2RlYjM1OWFlMjUwNTkzOTlmNDZkZmUifQ=="/>
  </w:docVars>
  <w:rsids>
    <w:rsidRoot w:val="00000000"/>
    <w:rsid w:val="00F4239B"/>
    <w:rsid w:val="01317F69"/>
    <w:rsid w:val="027126E3"/>
    <w:rsid w:val="0403022E"/>
    <w:rsid w:val="05133711"/>
    <w:rsid w:val="06555461"/>
    <w:rsid w:val="0AFC1508"/>
    <w:rsid w:val="0CA946CC"/>
    <w:rsid w:val="0E8D07A9"/>
    <w:rsid w:val="0F4B48EC"/>
    <w:rsid w:val="10091618"/>
    <w:rsid w:val="109A0CCD"/>
    <w:rsid w:val="116A1E3C"/>
    <w:rsid w:val="11741398"/>
    <w:rsid w:val="129A28E4"/>
    <w:rsid w:val="12B634D9"/>
    <w:rsid w:val="12ED7A68"/>
    <w:rsid w:val="14A53E9C"/>
    <w:rsid w:val="1653052A"/>
    <w:rsid w:val="17DB23A4"/>
    <w:rsid w:val="1D6039FF"/>
    <w:rsid w:val="1E236A34"/>
    <w:rsid w:val="1E4F4123"/>
    <w:rsid w:val="1EB7274A"/>
    <w:rsid w:val="2031256F"/>
    <w:rsid w:val="20E622BA"/>
    <w:rsid w:val="210C7C53"/>
    <w:rsid w:val="21621621"/>
    <w:rsid w:val="219043E0"/>
    <w:rsid w:val="242C09CD"/>
    <w:rsid w:val="28384D09"/>
    <w:rsid w:val="29CC3ACE"/>
    <w:rsid w:val="29D41C18"/>
    <w:rsid w:val="2C745B38"/>
    <w:rsid w:val="2D1660E1"/>
    <w:rsid w:val="2F4D5775"/>
    <w:rsid w:val="30A47C65"/>
    <w:rsid w:val="31070015"/>
    <w:rsid w:val="328C0A1C"/>
    <w:rsid w:val="32A001FB"/>
    <w:rsid w:val="32DE7904"/>
    <w:rsid w:val="33D05A36"/>
    <w:rsid w:val="349F6039"/>
    <w:rsid w:val="363F6804"/>
    <w:rsid w:val="38455560"/>
    <w:rsid w:val="3978683C"/>
    <w:rsid w:val="3AF47336"/>
    <w:rsid w:val="3CBC5FC8"/>
    <w:rsid w:val="3E3C54F5"/>
    <w:rsid w:val="3E427CF4"/>
    <w:rsid w:val="3E9E62F2"/>
    <w:rsid w:val="3EFB5264"/>
    <w:rsid w:val="407E22C2"/>
    <w:rsid w:val="41AF2209"/>
    <w:rsid w:val="438D0328"/>
    <w:rsid w:val="47A5259D"/>
    <w:rsid w:val="47BA1BF2"/>
    <w:rsid w:val="482F0B84"/>
    <w:rsid w:val="4848144A"/>
    <w:rsid w:val="48A037F4"/>
    <w:rsid w:val="4A5934FA"/>
    <w:rsid w:val="4BC6087B"/>
    <w:rsid w:val="4CAF51CB"/>
    <w:rsid w:val="4D4128AF"/>
    <w:rsid w:val="4D616D14"/>
    <w:rsid w:val="4DCD7C9F"/>
    <w:rsid w:val="4FC548CD"/>
    <w:rsid w:val="4FFB61FD"/>
    <w:rsid w:val="506474C1"/>
    <w:rsid w:val="507D4A6A"/>
    <w:rsid w:val="51CD2963"/>
    <w:rsid w:val="549C03CB"/>
    <w:rsid w:val="55DA6276"/>
    <w:rsid w:val="570C5CDB"/>
    <w:rsid w:val="585E2349"/>
    <w:rsid w:val="5C832F47"/>
    <w:rsid w:val="5F914E26"/>
    <w:rsid w:val="62D87963"/>
    <w:rsid w:val="634379A6"/>
    <w:rsid w:val="63E64609"/>
    <w:rsid w:val="652C5BE8"/>
    <w:rsid w:val="65C63FE2"/>
    <w:rsid w:val="662954C7"/>
    <w:rsid w:val="66576209"/>
    <w:rsid w:val="66B936CC"/>
    <w:rsid w:val="6A907BAF"/>
    <w:rsid w:val="712D6B22"/>
    <w:rsid w:val="717B788E"/>
    <w:rsid w:val="7402080F"/>
    <w:rsid w:val="758D7B90"/>
    <w:rsid w:val="75AF743C"/>
    <w:rsid w:val="794A7104"/>
    <w:rsid w:val="79EA4A87"/>
    <w:rsid w:val="7A291C70"/>
    <w:rsid w:val="7B173BC6"/>
    <w:rsid w:val="7BC049B4"/>
    <w:rsid w:val="7F207FC7"/>
    <w:rsid w:val="7F3D69F3"/>
    <w:rsid w:val="7FE41A08"/>
    <w:rsid w:val="7FF86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311"/>
      <w:outlineLvl w:val="1"/>
    </w:pPr>
    <w:rPr>
      <w:rFonts w:ascii="PMingLiU" w:hAnsi="PMingLiU" w:eastAsia="PMingLiU" w:cs="PMingLiU"/>
      <w:sz w:val="44"/>
      <w:szCs w:val="44"/>
    </w:rPr>
  </w:style>
  <w:style w:type="paragraph" w:styleId="3">
    <w:name w:val="heading 2"/>
    <w:basedOn w:val="1"/>
    <w:next w:val="1"/>
    <w:qFormat/>
    <w:uiPriority w:val="1"/>
    <w:pPr>
      <w:spacing w:line="579" w:lineRule="exact"/>
      <w:ind w:left="735"/>
      <w:outlineLvl w:val="2"/>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spacing w:before="159"/>
      <w:ind w:left="1054" w:hanging="319"/>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 w:type="character" w:customStyle="1" w:styleId="11">
    <w:name w:val="font41"/>
    <w:basedOn w:val="8"/>
    <w:qFormat/>
    <w:uiPriority w:val="0"/>
    <w:rPr>
      <w:rFonts w:hint="eastAsia" w:ascii="宋体" w:hAnsi="宋体" w:eastAsia="宋体" w:cs="宋体"/>
      <w:b/>
      <w:bCs/>
      <w:color w:val="000000"/>
      <w:sz w:val="21"/>
      <w:szCs w:val="21"/>
      <w:u w:val="none"/>
    </w:rPr>
  </w:style>
  <w:style w:type="character" w:customStyle="1" w:styleId="12">
    <w:name w:val="font81"/>
    <w:basedOn w:val="8"/>
    <w:qFormat/>
    <w:uiPriority w:val="0"/>
    <w:rPr>
      <w:rFonts w:ascii="Calibri" w:hAnsi="Calibri" w:cs="Calibri"/>
      <w:b/>
      <w:bCs/>
      <w:color w:val="000000"/>
      <w:sz w:val="21"/>
      <w:szCs w:val="21"/>
      <w:u w:val="none"/>
    </w:rPr>
  </w:style>
  <w:style w:type="character" w:customStyle="1" w:styleId="13">
    <w:name w:val="font51"/>
    <w:basedOn w:val="8"/>
    <w:qFormat/>
    <w:uiPriority w:val="0"/>
    <w:rPr>
      <w:rFonts w:hint="eastAsia" w:ascii="宋体" w:hAnsi="宋体" w:eastAsia="宋体" w:cs="宋体"/>
      <w:b/>
      <w:bCs/>
      <w:color w:val="000000"/>
      <w:sz w:val="21"/>
      <w:szCs w:val="21"/>
      <w:u w:val="none"/>
    </w:rPr>
  </w:style>
  <w:style w:type="character" w:customStyle="1" w:styleId="14">
    <w:name w:val="font91"/>
    <w:basedOn w:val="8"/>
    <w:qFormat/>
    <w:uiPriority w:val="0"/>
    <w:rPr>
      <w:rFonts w:ascii="Calibri" w:hAnsi="Calibri" w:cs="Calibri"/>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12653</Words>
  <Characters>12866</Characters>
  <Lines>0</Lines>
  <Paragraphs>0</Paragraphs>
  <TotalTime>0</TotalTime>
  <ScaleCrop>false</ScaleCrop>
  <LinksUpToDate>false</LinksUpToDate>
  <CharactersWithSpaces>13227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无事勿扰</cp:lastModifiedBy>
  <dcterms:modified xsi:type="dcterms:W3CDTF">2022-05-12T10:07:34Z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CBD178AC64A044D9981D0FA1DEE9679C</vt:lpwstr>
  </property>
  <property fmtid="{D5CDD505-2E9C-101B-9397-08002B2CF9AE}" pid="4" name="commondata">
    <vt:lpwstr>eyJoZGlkIjoiMTA0MjNhNzM4ZjEzMmEzY2M2MjFlNDhkMzkzMDBiODQifQ==</vt:lpwstr>
  </property>
</Properties>
</file>