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atLeast"/>
        <w:rPr>
          <w:rFonts w:hint="default" w:ascii="Times New Roman" w:hAnsi="Times New Roman" w:eastAsia="黑体" w:cs="Times New Roman"/>
          <w:szCs w:val="32"/>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淮北市地方金融监督管理局</w:t>
      </w: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方正小标宋简体" w:cs="Times New Roman"/>
          <w:b/>
          <w:sz w:val="44"/>
          <w:szCs w:val="44"/>
        </w:rPr>
        <w:t>2024年部门预算</w:t>
      </w: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val="0"/>
        <w:snapToGrid w:val="0"/>
        <w:spacing w:line="580" w:lineRule="atLeast"/>
        <w:jc w:val="center"/>
        <w:rPr>
          <w:rFonts w:hint="default" w:ascii="Times New Roman" w:hAnsi="Times New Roman" w:eastAsia="黑体" w:cs="Times New Roman"/>
          <w:bCs/>
          <w:sz w:val="44"/>
          <w:szCs w:val="44"/>
        </w:rPr>
      </w:pPr>
    </w:p>
    <w:p>
      <w:pPr>
        <w:pStyle w:val="5"/>
        <w:keepNext w:val="0"/>
        <w:keepLines w:val="0"/>
        <w:pageBreakBefore w:val="0"/>
        <w:kinsoku/>
        <w:wordWrap/>
        <w:overflowPunct/>
        <w:topLinePunct w:val="0"/>
        <w:autoSpaceDE/>
        <w:autoSpaceDN/>
        <w:bidi w:val="0"/>
        <w:adjustRightInd w:val="0"/>
        <w:snapToGrid w:val="0"/>
        <w:spacing w:line="580" w:lineRule="atLeas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keepNext w:val="0"/>
        <w:keepLines w:val="0"/>
        <w:pageBreakBefore w:val="0"/>
        <w:kinsoku/>
        <w:wordWrap/>
        <w:overflowPunct/>
        <w:topLinePunct w:val="0"/>
        <w:autoSpaceDE/>
        <w:autoSpaceDN/>
        <w:bidi w:val="0"/>
        <w:spacing w:line="580" w:lineRule="atLeast"/>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val="0"/>
        <w:snapToGrid w:val="0"/>
        <w:spacing w:line="580" w:lineRule="atLeast"/>
        <w:jc w:val="center"/>
        <w:rPr>
          <w:rFonts w:hint="default" w:ascii="Times New Roman" w:hAnsi="Times New Roman" w:eastAsia="黑体" w:cs="Times New Roman"/>
          <w:bCs/>
          <w:sz w:val="44"/>
          <w:szCs w:val="44"/>
        </w:rPr>
        <w:sectPr>
          <w:pgSz w:w="11906" w:h="16838"/>
          <w:pgMar w:top="1304" w:right="1134" w:bottom="1304" w:left="1247" w:header="851" w:footer="992" w:gutter="0"/>
          <w:cols w:space="425" w:num="1"/>
          <w:docGrid w:type="lines" w:linePitch="312" w:charSpace="0"/>
        </w:sectPr>
      </w:pPr>
    </w:p>
    <w:p>
      <w:pPr>
        <w:pStyle w:val="5"/>
        <w:keepNext w:val="0"/>
        <w:keepLines w:val="0"/>
        <w:pageBreakBefore w:val="0"/>
        <w:kinsoku/>
        <w:wordWrap/>
        <w:overflowPunct/>
        <w:topLinePunct w:val="0"/>
        <w:autoSpaceDE/>
        <w:autoSpaceDN/>
        <w:bidi w:val="0"/>
        <w:adjustRightInd w:val="0"/>
        <w:snapToGrid w:val="0"/>
        <w:spacing w:line="580" w:lineRule="atLeas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部门概况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3、2024年度主要工作任务</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2024年部门预算表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1、淮北市地方金融监督管理局2024年收支总表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2、淮北市地方金融监督管理局2024年收入总表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2024年支出总表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2024年财政拨款收支总表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2024年一般公共预算支出表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2024年一般公共预算基本支出表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2024年政府性基金预算支出表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2024年国有资本经营预算支出表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2024年项目支出表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2024年政府采购支出表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2024年政府购买服务支出表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2024年通用资产配置支出表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2024年部门（单位）预算情况说明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2024年部门预算纳入绩效考评项目表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bCs/>
          <w:sz w:val="32"/>
          <w:szCs w:val="32"/>
        </w:rPr>
        <w:t>2024年部门预算专项资金管理清单（专栏公开）</w:t>
      </w:r>
    </w:p>
    <w:p>
      <w:pPr>
        <w:pStyle w:val="5"/>
        <w:keepNext w:val="0"/>
        <w:keepLines w:val="0"/>
        <w:pageBreakBefore w:val="0"/>
        <w:kinsoku/>
        <w:wordWrap/>
        <w:overflowPunct/>
        <w:topLinePunct w:val="0"/>
        <w:autoSpaceDE/>
        <w:autoSpaceDN/>
        <w:bidi w:val="0"/>
        <w:adjustRightInd w:val="0"/>
        <w:snapToGrid w:val="0"/>
        <w:spacing w:line="580" w:lineRule="atLeast"/>
        <w:jc w:val="center"/>
        <w:rPr>
          <w:rFonts w:hint="default" w:ascii="Times New Roman" w:hAnsi="Times New Roman" w:eastAsia="黑体" w:cs="Times New Roman"/>
          <w:bCs/>
          <w:sz w:val="36"/>
          <w:szCs w:val="36"/>
        </w:rPr>
        <w:sectPr>
          <w:pgSz w:w="11906" w:h="16838"/>
          <w:pgMar w:top="1304" w:right="1134" w:bottom="1304" w:left="1247" w:header="851" w:footer="992" w:gutter="0"/>
          <w:cols w:space="425" w:num="1"/>
          <w:docGrid w:type="lines" w:linePitch="312" w:charSpace="0"/>
        </w:sect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420" w:firstLineChars="200"/>
        <w:textAlignment w:val="auto"/>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贯彻执行国家金融工作政策规划和法律法规规章，拟定全市金融行业发展中长期规划和政策措施并组织实施，起草相关地方性法规规章草案。研究分析国家金融政策、宏观金融形势和全市金融运行情况，提出改善金融发展环境、促进金融行业发展的建议，协调推动地方金融改革发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负责全市小额贷款公司、融资担保公司、区域性股权市场、典当行、融资租赁公司、商业保理公司、地方资产管理公司等机构的监督管理，指导监管投资公司、开展信用互助的农民专业合作社、社会众筹机构、地方各类交易场所等，承担地方金融监管有关考核评估、监督问责等具体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（三）负责地方金融风险防范和处置工作，会同有关部门防范、化解和处置地方金融风险，协调有关部门做好打击非法集资等工作，配合推进金融信用体系建设。</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（四）推进全市多层次资本市场建设与发展，协调推进企业上市和重组、兼并、再融资工作。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（五）联系驻淮金融监督管理机构，协助做好地方金融监管工作，协调建立中央驻淮金融管理部门与地方政府之间信息共享、风险处置、业务发展和消费者保护等协作机制。</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承担驻淮金融机构和地方金融行业的协调服务工作，组织开展政府与金融机构合作、金融机构和企业对接，引导、协调和鼓励金融机构加大对全市经济社会发展的支持力度。按规定负责地方金融机构业绩评价等有关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（七）完成市委、市政府交办的其他任务。</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淮北市地方金融监督管理局</w:t>
      </w:r>
      <w:r>
        <w:rPr>
          <w:rFonts w:hint="default" w:ascii="Times New Roman" w:hAnsi="Times New Roman" w:eastAsia="仿宋_GB2312" w:cs="Times New Roman"/>
          <w:sz w:val="32"/>
          <w:szCs w:val="32"/>
        </w:rPr>
        <w:t>2024年度部门预算仅包括局本级预算，无其他下属单位预算。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2024年是实现“十四五”规划目标任务的关键一年。我局将坚持以习近平新时代中国特色社会主义思想为指导，深入学习贯彻党的二十大精神，全面贯彻落实中央经济工作会议、中央金融工作会议精神，全面加强党对金融工作的领导，完整、准确、全面贯彻新发展理念，坚决按照市委市政府各项决策部署，谋划推动科技金融、绿色金融、普惠金融、养老金融、数字金融“五篇大文章”，强化金融监管、防范化解金融风险，以金融高质量发展助力经济高质量发展。</w:t>
      </w:r>
    </w:p>
    <w:p>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lang w:eastAsia="zh-CN"/>
        </w:rPr>
        <w:t>坚持做强资本市场“淮北板块”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落实好省“科创100”上市专项行动，抢抓全面注册制和北交所改革重大机遇。坚持盘活存量与做大增量并重，督促县区、园区进一步加大走访力度，提升战略性新兴产业、专精特新企业、高新技术企业转化进入上市后备库的数量，最大限度挖掘、引进后备企业，夯实上市后备资源库。对上市后备企业资源再摸排再挖掘，积极引导优质企业实施股份制改造，对已经股改并初步具备上市条件的企业，帮助尽快进入上市辅导期，实现梯次培育。</w:t>
      </w:r>
    </w:p>
    <w:p>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eastAsia="zh-CN"/>
        </w:rPr>
        <w:t>）坚持做优金融领域营商环境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管行业、管融资”，围绕科技创新、文化旅游、商贸物流、养殖种植等行业领域，整合行业主管部门、行业协会等资源，不断加强政银企合作，发挥要素保障作用。引导金融机构延伸金融产品服务触角，深耕细分产业领域，开发特色信贷产品，满足市场主体差异化融资需求，降低企业融资成本。</w:t>
      </w:r>
    </w:p>
    <w:p>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lang w:val="en-US" w:eastAsia="zh-CN"/>
        </w:rPr>
        <w:t>）坚持提升政府性融资担保能力</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会同市财政局，继续推进担保机构调整优化，不断完善政府性融资担保体系建设。指导担保机构</w:t>
      </w:r>
      <w:r>
        <w:rPr>
          <w:rFonts w:hint="default" w:ascii="Times New Roman" w:hAnsi="Times New Roman" w:eastAsia="仿宋_GB2312" w:cs="Times New Roman"/>
          <w:bCs/>
          <w:sz w:val="32"/>
          <w:szCs w:val="32"/>
          <w:lang w:val="en"/>
        </w:rPr>
        <w:t>按照审慎经营原则加强风险控制</w:t>
      </w:r>
      <w:r>
        <w:rPr>
          <w:rFonts w:hint="default" w:ascii="Times New Roman" w:hAnsi="Times New Roman" w:eastAsia="仿宋_GB2312" w:cs="Times New Roman"/>
          <w:bCs/>
          <w:sz w:val="32"/>
          <w:szCs w:val="32"/>
        </w:rPr>
        <w:t>，有效处置不良资产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会同</w:t>
      </w:r>
      <w:r>
        <w:rPr>
          <w:rFonts w:hint="default" w:ascii="Times New Roman" w:hAnsi="Times New Roman" w:eastAsia="仿宋_GB2312" w:cs="Times New Roman"/>
          <w:bCs/>
          <w:sz w:val="32"/>
          <w:szCs w:val="32"/>
          <w:lang w:eastAsia="zh-CN"/>
        </w:rPr>
        <w:t>有关</w:t>
      </w:r>
      <w:r>
        <w:rPr>
          <w:rFonts w:hint="default" w:ascii="Times New Roman" w:hAnsi="Times New Roman" w:eastAsia="仿宋_GB2312" w:cs="Times New Roman"/>
          <w:bCs/>
          <w:sz w:val="32"/>
          <w:szCs w:val="32"/>
        </w:rPr>
        <w:t>部门，加大案件执行力度，打击恶意逃废债行为。持续深化银担合作、完善风险分担，市级机构发挥区域带动和再分险作用，促进县区机构扩大业务规模、提升风控能力，扩大全市新型政银担业务规模和覆盖面。</w:t>
      </w:r>
    </w:p>
    <w:p>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val="en-US" w:eastAsia="zh-CN"/>
        </w:rPr>
        <w:t>）坚持维护稳定良好金融生态</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加强组织协调和跟踪调度，压实属地责任，凝聚部门合力，做好地方金融风险防范处置相关工作。继续深入开展地方金融风险处置攻坚专项行动，加强行刑联动，推动地方金融领域突出风险隐患有效化解。强化重点行业监管，督促地方金融组织规范运营。综合运用信息数据、业务监管等方式，加强对涉嫌非法金融活动的监测预警和排查整治。加强金融风险防范宣传，不断增强公众风险防范意识。</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420" w:firstLineChars="200"/>
        <w:textAlignment w:val="auto"/>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2024年部门（单位）预算表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2024年部门（单位）预算情况说明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淮北市地方金融监督管理局</w:t>
      </w:r>
      <w:r>
        <w:rPr>
          <w:rFonts w:hint="default" w:ascii="Times New Roman" w:hAnsi="Times New Roman" w:eastAsia="仿宋_GB2312" w:cs="Times New Roman"/>
          <w:sz w:val="32"/>
          <w:szCs w:val="32"/>
        </w:rPr>
        <w:t>所有收入和支出均纳入部门（单位）预算管理。</w:t>
      </w:r>
      <w:r>
        <w:rPr>
          <w:rFonts w:hint="default" w:ascii="Times New Roman" w:hAnsi="Times New Roman" w:eastAsia="仿宋_GB2312" w:cs="Times New Roman"/>
          <w:sz w:val="32"/>
          <w:szCs w:val="32"/>
          <w:lang w:eastAsia="zh-CN"/>
        </w:rPr>
        <w:t>淮北市地</w:t>
      </w:r>
      <w:r>
        <w:rPr>
          <w:rFonts w:hint="default" w:ascii="Times New Roman" w:hAnsi="Times New Roman" w:eastAsia="仿宋_GB2312" w:cs="Times New Roman"/>
          <w:color w:val="auto"/>
          <w:sz w:val="32"/>
          <w:szCs w:val="32"/>
          <w:lang w:eastAsia="zh-CN"/>
        </w:rPr>
        <w:t>方金融监督管理局</w:t>
      </w:r>
      <w:r>
        <w:rPr>
          <w:rFonts w:hint="default" w:ascii="Times New Roman" w:hAnsi="Times New Roman" w:eastAsia="仿宋_GB2312" w:cs="Times New Roman"/>
          <w:color w:val="auto"/>
          <w:sz w:val="32"/>
          <w:szCs w:val="32"/>
        </w:rPr>
        <w:t>2024年收支总预算</w:t>
      </w:r>
      <w:r>
        <w:rPr>
          <w:rFonts w:hint="default" w:ascii="Times New Roman" w:hAnsi="Times New Roman" w:eastAsia="仿宋_GB2312" w:cs="Times New Roman"/>
          <w:color w:val="auto"/>
          <w:sz w:val="32"/>
          <w:szCs w:val="32"/>
          <w:lang w:val="en-US" w:eastAsia="zh-CN"/>
        </w:rPr>
        <w:t>540.70</w:t>
      </w:r>
      <w:r>
        <w:rPr>
          <w:rFonts w:hint="default" w:ascii="Times New Roman" w:hAnsi="Times New Roman" w:eastAsia="仿宋_GB2312" w:cs="Times New Roman"/>
          <w:color w:val="auto"/>
          <w:sz w:val="32"/>
          <w:szCs w:val="32"/>
        </w:rPr>
        <w:t>万元，收入全部是一般公共预算拨款收入，支出包括：一般公共服务支出、社会保障和就业支出、卫生健康支出、住房保障支出。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二、关于2024年收入总表的说明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2024年收入预算</w:t>
      </w:r>
      <w:r>
        <w:rPr>
          <w:rFonts w:hint="eastAsia"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540.70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%，比2023年预算减少</w:t>
      </w:r>
      <w:r>
        <w:rPr>
          <w:rFonts w:hint="eastAsia" w:ascii="Times New Roman" w:hAnsi="Times New Roman" w:eastAsia="仿宋_GB2312" w:cs="Times New Roman"/>
          <w:kern w:val="0"/>
          <w:sz w:val="32"/>
          <w:szCs w:val="32"/>
          <w:lang w:val="en-US" w:eastAsia="zh-CN"/>
        </w:rPr>
        <w:t>263.99</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32.81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部门预算项目“企业融资、上市(挂牌)奖励”项目列入财政统筹</w:t>
      </w:r>
      <w:r>
        <w:rPr>
          <w:rFonts w:hint="default"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无变动</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无变动</w:t>
      </w:r>
      <w:r>
        <w:rPr>
          <w:rFonts w:hint="default" w:ascii="Times New Roman" w:hAnsi="Times New Roman" w:eastAsia="仿宋_GB2312" w:cs="Times New Roman"/>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2024年支出预算</w:t>
      </w:r>
      <w:r>
        <w:rPr>
          <w:rFonts w:hint="default"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263.99</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32.81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部门预算项目“企业融资、上市(挂牌)奖励”项目列入财政统筹</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299.00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55.30</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44.70</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eastAsia="zh-CN"/>
        </w:rPr>
        <w:t>打击非法集资、</w:t>
      </w:r>
      <w:r>
        <w:rPr>
          <w:rFonts w:hint="default" w:ascii="Times New Roman" w:hAnsi="Times New Roman" w:eastAsia="仿宋_GB2312" w:cs="Times New Roman"/>
          <w:kern w:val="0"/>
          <w:sz w:val="32"/>
          <w:szCs w:val="32"/>
        </w:rPr>
        <w:t>促进金融业发展工作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党建引领信用村建设工作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银行业金融机构考核奖励、平台运行维护、</w:t>
      </w:r>
      <w:r>
        <w:rPr>
          <w:rFonts w:hint="eastAsia" w:ascii="Times New Roman" w:hAnsi="Times New Roman" w:eastAsia="仿宋_GB2312" w:cs="Times New Roman"/>
          <w:kern w:val="0"/>
          <w:sz w:val="32"/>
          <w:szCs w:val="32"/>
          <w:lang w:val="en-US" w:eastAsia="zh-CN"/>
        </w:rPr>
        <w:t>再贷款转型金融引导专项额度贴息</w:t>
      </w:r>
      <w:r>
        <w:rPr>
          <w:rFonts w:hint="default" w:ascii="Times New Roman" w:hAnsi="Times New Roman" w:eastAsia="仿宋_GB2312" w:cs="Times New Roman"/>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万元。收入按</w:t>
      </w:r>
      <w:r>
        <w:rPr>
          <w:rFonts w:hint="default" w:ascii="Times New Roman" w:hAnsi="Times New Roman" w:eastAsia="仿宋_GB2312" w:cs="Times New Roman"/>
          <w:color w:val="auto"/>
          <w:kern w:val="0"/>
          <w:sz w:val="32"/>
          <w:szCs w:val="32"/>
        </w:rPr>
        <w:t>资金来源分为：一般公共预算拨款</w:t>
      </w:r>
      <w:r>
        <w:rPr>
          <w:rFonts w:hint="default" w:ascii="Times New Roman" w:hAnsi="Times New Roman" w:eastAsia="仿宋_GB2312" w:cs="Times New Roman"/>
          <w:color w:val="auto"/>
          <w:kern w:val="0"/>
          <w:sz w:val="32"/>
          <w:szCs w:val="32"/>
          <w:lang w:val="en-US" w:eastAsia="zh-CN"/>
        </w:rPr>
        <w:t>540.70</w:t>
      </w:r>
      <w:r>
        <w:rPr>
          <w:rFonts w:hint="default" w:ascii="Times New Roman" w:hAnsi="Times New Roman" w:eastAsia="仿宋_GB2312" w:cs="Times New Roman"/>
          <w:color w:val="auto"/>
          <w:kern w:val="0"/>
          <w:sz w:val="32"/>
          <w:szCs w:val="32"/>
        </w:rPr>
        <w:t>万元、政府性基金预算拨款</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万元；按资金年度分为：本年财政拨款收入</w:t>
      </w:r>
      <w:r>
        <w:rPr>
          <w:rFonts w:hint="default" w:ascii="Times New Roman" w:hAnsi="Times New Roman" w:eastAsia="仿宋_GB2312" w:cs="Times New Roman"/>
          <w:color w:val="auto"/>
          <w:kern w:val="0"/>
          <w:sz w:val="32"/>
          <w:szCs w:val="32"/>
          <w:lang w:val="en-US" w:eastAsia="zh-CN"/>
        </w:rPr>
        <w:t>540.70</w:t>
      </w:r>
      <w:r>
        <w:rPr>
          <w:rFonts w:hint="default" w:ascii="Times New Roman" w:hAnsi="Times New Roman" w:eastAsia="仿宋_GB2312" w:cs="Times New Roman"/>
          <w:color w:val="auto"/>
          <w:kern w:val="0"/>
          <w:sz w:val="32"/>
          <w:szCs w:val="32"/>
        </w:rPr>
        <w:t>万元。支出按功能分类分为：一般公共服务支出</w:t>
      </w:r>
      <w:r>
        <w:rPr>
          <w:rFonts w:hint="eastAsia" w:ascii="Times New Roman" w:hAnsi="Times New Roman" w:eastAsia="仿宋_GB2312" w:cs="Times New Roman"/>
          <w:color w:val="auto"/>
          <w:kern w:val="0"/>
          <w:sz w:val="32"/>
          <w:szCs w:val="32"/>
          <w:lang w:val="en-US" w:eastAsia="zh-CN"/>
        </w:rPr>
        <w:t>473.72</w:t>
      </w:r>
      <w:r>
        <w:rPr>
          <w:rFonts w:hint="default" w:ascii="Times New Roman" w:hAnsi="Times New Roman" w:eastAsia="仿宋_GB2312" w:cs="Times New Roman"/>
          <w:color w:val="auto"/>
          <w:kern w:val="0"/>
          <w:sz w:val="32"/>
          <w:szCs w:val="32"/>
        </w:rPr>
        <w:t>万元，占</w:t>
      </w:r>
      <w:r>
        <w:rPr>
          <w:rFonts w:hint="eastAsia" w:ascii="Times New Roman" w:hAnsi="Times New Roman" w:eastAsia="仿宋_GB2312" w:cs="Times New Roman"/>
          <w:color w:val="auto"/>
          <w:kern w:val="0"/>
          <w:sz w:val="32"/>
          <w:szCs w:val="32"/>
          <w:lang w:val="en-US" w:eastAsia="zh-CN"/>
        </w:rPr>
        <w:t>87.61</w:t>
      </w:r>
      <w:r>
        <w:rPr>
          <w:rFonts w:hint="default" w:ascii="Times New Roman" w:hAnsi="Times New Roman" w:eastAsia="仿宋_GB2312" w:cs="Times New Roman"/>
          <w:color w:val="auto"/>
          <w:kern w:val="0"/>
          <w:sz w:val="32"/>
          <w:szCs w:val="32"/>
        </w:rPr>
        <w:t>%；社会保障和就业支出</w:t>
      </w:r>
      <w:r>
        <w:rPr>
          <w:rFonts w:hint="eastAsia" w:ascii="Times New Roman" w:hAnsi="Times New Roman" w:eastAsia="仿宋_GB2312" w:cs="Times New Roman"/>
          <w:color w:val="auto"/>
          <w:kern w:val="0"/>
          <w:sz w:val="32"/>
          <w:szCs w:val="32"/>
          <w:lang w:val="en-US" w:eastAsia="zh-CN"/>
        </w:rPr>
        <w:t>30.53</w:t>
      </w:r>
      <w:r>
        <w:rPr>
          <w:rFonts w:hint="default" w:ascii="Times New Roman" w:hAnsi="Times New Roman" w:eastAsia="仿宋_GB2312" w:cs="Times New Roman"/>
          <w:color w:val="auto"/>
          <w:kern w:val="0"/>
          <w:sz w:val="32"/>
          <w:szCs w:val="32"/>
        </w:rPr>
        <w:t>万元，占</w:t>
      </w:r>
      <w:r>
        <w:rPr>
          <w:rFonts w:hint="eastAsia" w:ascii="Times New Roman" w:hAnsi="Times New Roman" w:eastAsia="仿宋_GB2312" w:cs="Times New Roman"/>
          <w:color w:val="auto"/>
          <w:kern w:val="0"/>
          <w:sz w:val="32"/>
          <w:szCs w:val="32"/>
          <w:lang w:val="en-US" w:eastAsia="zh-CN"/>
        </w:rPr>
        <w:t>5.65</w:t>
      </w:r>
      <w:r>
        <w:rPr>
          <w:rFonts w:hint="default" w:ascii="Times New Roman" w:hAnsi="Times New Roman" w:eastAsia="仿宋_GB2312" w:cs="Times New Roman"/>
          <w:color w:val="auto"/>
          <w:kern w:val="0"/>
          <w:sz w:val="32"/>
          <w:szCs w:val="32"/>
        </w:rPr>
        <w:t>%；卫生健康支出</w:t>
      </w:r>
      <w:r>
        <w:rPr>
          <w:rFonts w:hint="eastAsia" w:ascii="Times New Roman" w:hAnsi="Times New Roman" w:eastAsia="仿宋_GB2312" w:cs="Times New Roman"/>
          <w:color w:val="auto"/>
          <w:kern w:val="0"/>
          <w:sz w:val="32"/>
          <w:szCs w:val="32"/>
          <w:lang w:val="en-US" w:eastAsia="zh-CN"/>
        </w:rPr>
        <w:t>10.04</w:t>
      </w:r>
      <w:r>
        <w:rPr>
          <w:rFonts w:hint="default" w:ascii="Times New Roman" w:hAnsi="Times New Roman" w:eastAsia="仿宋_GB2312" w:cs="Times New Roman"/>
          <w:color w:val="auto"/>
          <w:kern w:val="0"/>
          <w:sz w:val="32"/>
          <w:szCs w:val="32"/>
        </w:rPr>
        <w:t>万元，占</w:t>
      </w:r>
      <w:r>
        <w:rPr>
          <w:rFonts w:hint="eastAsia" w:ascii="Times New Roman" w:hAnsi="Times New Roman" w:eastAsia="仿宋_GB2312" w:cs="Times New Roman"/>
          <w:color w:val="auto"/>
          <w:kern w:val="0"/>
          <w:sz w:val="32"/>
          <w:szCs w:val="32"/>
          <w:lang w:val="en-US" w:eastAsia="zh-CN"/>
        </w:rPr>
        <w:t>1.86</w:t>
      </w:r>
      <w:r>
        <w:rPr>
          <w:rFonts w:hint="default" w:ascii="Times New Roman" w:hAnsi="Times New Roman" w:eastAsia="仿宋_GB2312" w:cs="Times New Roman"/>
          <w:color w:val="auto"/>
          <w:kern w:val="0"/>
          <w:sz w:val="32"/>
          <w:szCs w:val="32"/>
        </w:rPr>
        <w:t>%；住房保障支出</w:t>
      </w:r>
      <w:r>
        <w:rPr>
          <w:rFonts w:hint="eastAsia" w:ascii="Times New Roman" w:hAnsi="Times New Roman" w:eastAsia="仿宋_GB2312" w:cs="Times New Roman"/>
          <w:color w:val="auto"/>
          <w:kern w:val="0"/>
          <w:sz w:val="32"/>
          <w:szCs w:val="32"/>
          <w:lang w:val="en-US" w:eastAsia="zh-CN"/>
        </w:rPr>
        <w:t>26.41</w:t>
      </w:r>
      <w:r>
        <w:rPr>
          <w:rFonts w:hint="default" w:ascii="Times New Roman" w:hAnsi="Times New Roman" w:eastAsia="仿宋_GB2312" w:cs="Times New Roman"/>
          <w:color w:val="auto"/>
          <w:kern w:val="0"/>
          <w:sz w:val="32"/>
          <w:szCs w:val="32"/>
        </w:rPr>
        <w:t>万元，占</w:t>
      </w:r>
      <w:r>
        <w:rPr>
          <w:rFonts w:hint="eastAsia" w:ascii="Times New Roman" w:hAnsi="Times New Roman" w:eastAsia="仿宋_GB2312" w:cs="Times New Roman"/>
          <w:color w:val="auto"/>
          <w:kern w:val="0"/>
          <w:sz w:val="32"/>
          <w:szCs w:val="32"/>
          <w:lang w:val="en-US" w:eastAsia="zh-CN"/>
        </w:rPr>
        <w:t>4.88</w:t>
      </w:r>
      <w:r>
        <w:rPr>
          <w:rFonts w:hint="default" w:ascii="Times New Roman" w:hAnsi="Times New Roman" w:eastAsia="仿宋_GB2312" w:cs="Times New Roman"/>
          <w:color w:val="auto"/>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2024年一般公共预算支出</w:t>
      </w:r>
      <w:r>
        <w:rPr>
          <w:rFonts w:hint="default" w:ascii="Times New Roman" w:hAnsi="Times New Roman" w:eastAsia="仿宋_GB2312" w:cs="Times New Roman"/>
          <w:kern w:val="0"/>
          <w:sz w:val="32"/>
          <w:szCs w:val="32"/>
          <w:lang w:val="en-US" w:eastAsia="zh-CN"/>
        </w:rPr>
        <w:t>540.70</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263.99</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32.81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部门预</w:t>
      </w:r>
      <w:r>
        <w:rPr>
          <w:rFonts w:hint="default" w:ascii="Times New Roman" w:hAnsi="Times New Roman" w:eastAsia="仿宋_GB2312" w:cs="Times New Roman"/>
          <w:color w:val="auto"/>
          <w:kern w:val="0"/>
          <w:sz w:val="32"/>
          <w:szCs w:val="32"/>
          <w:lang w:val="en-US" w:eastAsia="zh-CN"/>
        </w:rPr>
        <w:t>算项目“企业融资、上市(挂牌)奖励”项目列入财政统筹</w:t>
      </w:r>
      <w:r>
        <w:rPr>
          <w:rFonts w:hint="default" w:ascii="Times New Roman" w:hAnsi="Times New Roman" w:eastAsia="仿宋_GB2312" w:cs="Times New Roman"/>
          <w:color w:val="auto"/>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（二）一般公共预算支出结构情况。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一般公共服务支出</w:t>
      </w:r>
      <w:r>
        <w:rPr>
          <w:rFonts w:hint="default" w:ascii="Times New Roman" w:hAnsi="Times New Roman" w:eastAsia="仿宋_GB2312" w:cs="Times New Roman"/>
          <w:color w:val="auto"/>
          <w:kern w:val="0"/>
          <w:sz w:val="32"/>
          <w:szCs w:val="32"/>
          <w:lang w:val="en-US" w:eastAsia="zh-CN"/>
        </w:rPr>
        <w:t>473.72</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87.61</w:t>
      </w:r>
      <w:r>
        <w:rPr>
          <w:rFonts w:hint="default" w:ascii="Times New Roman" w:hAnsi="Times New Roman" w:eastAsia="仿宋_GB2312" w:cs="Times New Roman"/>
          <w:color w:val="auto"/>
          <w:kern w:val="0"/>
          <w:sz w:val="32"/>
          <w:szCs w:val="32"/>
        </w:rPr>
        <w:t>%；社会保障和就业支出</w:t>
      </w:r>
      <w:r>
        <w:rPr>
          <w:rFonts w:hint="default" w:ascii="Times New Roman" w:hAnsi="Times New Roman" w:eastAsia="仿宋_GB2312" w:cs="Times New Roman"/>
          <w:color w:val="auto"/>
          <w:kern w:val="0"/>
          <w:sz w:val="32"/>
          <w:szCs w:val="32"/>
          <w:lang w:val="en-US" w:eastAsia="zh-CN"/>
        </w:rPr>
        <w:t>30.53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5.65</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10.04</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1.86</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kern w:val="0"/>
          <w:sz w:val="32"/>
          <w:szCs w:val="32"/>
          <w:lang w:val="en-US" w:eastAsia="zh-CN"/>
        </w:rPr>
        <w:t>26.41</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4.88</w:t>
      </w:r>
      <w:r>
        <w:rPr>
          <w:rFonts w:hint="default" w:ascii="Times New Roman" w:hAnsi="Times New Roman" w:eastAsia="仿宋_GB2312" w:cs="Times New Roman"/>
          <w:color w:val="auto"/>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1、一般公共服务支出（类）政府办公厅（室）及相关机构事务（款）行政运行（项）</w:t>
      </w:r>
      <w:r>
        <w:rPr>
          <w:rFonts w:hint="default"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208.37</w:t>
      </w:r>
      <w:r>
        <w:rPr>
          <w:rFonts w:hint="default" w:ascii="Times New Roman" w:hAnsi="Times New Roman" w:eastAsia="仿宋_GB2312" w:cs="Times New Roman"/>
          <w:kern w:val="0"/>
          <w:sz w:val="32"/>
          <w:szCs w:val="32"/>
        </w:rPr>
        <w:t>万元，比2023年预算增加</w:t>
      </w:r>
      <w:r>
        <w:rPr>
          <w:rFonts w:hint="eastAsia" w:ascii="Times New Roman" w:hAnsi="Times New Roman" w:eastAsia="仿宋_GB2312" w:cs="Times New Roman"/>
          <w:kern w:val="0"/>
          <w:sz w:val="32"/>
          <w:szCs w:val="32"/>
          <w:lang w:val="en-US" w:eastAsia="zh-CN"/>
        </w:rPr>
        <w:t>26.40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14.51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下属二级机构财务未独立，部分事业支出与行政支出合并列支</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2、一般公共服务支出（类）政府办公厅（室）及相关机构事务（款）</w:t>
      </w:r>
      <w:r>
        <w:rPr>
          <w:rFonts w:hint="default" w:ascii="Times New Roman" w:hAnsi="Times New Roman" w:eastAsia="仿宋_GB2312" w:cs="Times New Roman"/>
          <w:b/>
          <w:bCs/>
          <w:kern w:val="0"/>
          <w:sz w:val="32"/>
          <w:szCs w:val="32"/>
          <w:lang w:val="en-US" w:eastAsia="zh-CN"/>
        </w:rPr>
        <w:t>事业</w:t>
      </w:r>
      <w:r>
        <w:rPr>
          <w:rFonts w:hint="default" w:ascii="Times New Roman" w:hAnsi="Times New Roman" w:eastAsia="仿宋_GB2312" w:cs="Times New Roman"/>
          <w:b/>
          <w:bCs/>
          <w:kern w:val="0"/>
          <w:sz w:val="32"/>
          <w:szCs w:val="32"/>
        </w:rPr>
        <w:t>运行（项）</w:t>
      </w:r>
      <w:r>
        <w:rPr>
          <w:rFonts w:hint="default"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23.65</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23.07</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49.38</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下属二级机构财务未独立，部分事业支出与行政支出合并列支</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b/>
          <w:bCs/>
          <w:kern w:val="0"/>
          <w:sz w:val="32"/>
          <w:szCs w:val="32"/>
        </w:rPr>
        <w:t>一般公共服务支出（类）政府办公厅（室）及相关机构事务（款）其他政府办公厅（室）及相关机构事务支出（项）</w:t>
      </w:r>
      <w:r>
        <w:rPr>
          <w:rFonts w:hint="default"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万元，比2023年预算增加</w:t>
      </w:r>
      <w:r>
        <w:rPr>
          <w:rFonts w:hint="eastAsia" w:ascii="Times New Roman" w:hAnsi="Times New Roman" w:eastAsia="仿宋_GB2312" w:cs="Times New Roman"/>
          <w:kern w:val="0"/>
          <w:sz w:val="32"/>
          <w:szCs w:val="32"/>
          <w:lang w:val="en-US" w:eastAsia="zh-CN"/>
        </w:rPr>
        <w:t>167</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223.56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新增项目“再贷款转型金融引导专项额度贴息”“淮北市党建引领信用村建设工作经费”，“平台运行维护费”增加52万元</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、社会保障和就业支出（类）行政事业单位养老支出（款）机关事业单位基本养老保险缴费支出（项）</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20.17</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7.30</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26.57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、社会保障和就业支出（类）行政事业单位养老支出（款）机关事业单位职业年金缴费支出（项）</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w:t>
      </w:r>
      <w:r>
        <w:rPr>
          <w:rFonts w:hint="default" w:ascii="Times New Roman" w:hAnsi="Times New Roman" w:eastAsia="仿宋_GB2312" w:cs="Times New Roman"/>
          <w:kern w:val="0"/>
          <w:sz w:val="32"/>
          <w:szCs w:val="32"/>
          <w:lang w:eastAsia="zh-CN"/>
        </w:rPr>
        <w:t>算</w:t>
      </w:r>
      <w:r>
        <w:rPr>
          <w:rFonts w:hint="eastAsia" w:ascii="Times New Roman" w:hAnsi="Times New Roman" w:eastAsia="仿宋_GB2312" w:cs="Times New Roman"/>
          <w:kern w:val="0"/>
          <w:sz w:val="32"/>
          <w:szCs w:val="32"/>
          <w:lang w:val="en-US" w:eastAsia="zh-CN"/>
        </w:rPr>
        <w:t>10.08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比</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年减少</w:t>
      </w:r>
      <w:r>
        <w:rPr>
          <w:rFonts w:hint="eastAsia" w:ascii="Times New Roman" w:hAnsi="Times New Roman" w:eastAsia="仿宋_GB2312" w:cs="Times New Roman"/>
          <w:kern w:val="0"/>
          <w:sz w:val="32"/>
          <w:szCs w:val="32"/>
          <w:lang w:val="en-US" w:eastAsia="zh-CN"/>
        </w:rPr>
        <w:t>3.65</w:t>
      </w:r>
      <w:r>
        <w:rPr>
          <w:rFonts w:hint="default" w:ascii="Times New Roman" w:hAnsi="Times New Roman" w:eastAsia="仿宋_GB2312" w:cs="Times New Roman"/>
          <w:kern w:val="0"/>
          <w:sz w:val="32"/>
          <w:szCs w:val="32"/>
          <w:lang w:val="en-US" w:eastAsia="zh-CN"/>
        </w:rPr>
        <w:t>万元，下降26.5</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%，原因主要是人员减少。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6、社会保障和就业支出（类）其他社会保障和就业支出（款）其他社会保障和就业支出（项）</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年预算0.</w:t>
      </w:r>
      <w:r>
        <w:rPr>
          <w:rFonts w:hint="eastAsia"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lang w:val="en-US" w:eastAsia="zh-CN"/>
        </w:rPr>
        <w:t>万元，比2023年减少</w:t>
      </w:r>
      <w:r>
        <w:rPr>
          <w:rFonts w:hint="eastAsia" w:ascii="Times New Roman" w:hAnsi="Times New Roman" w:eastAsia="仿宋_GB2312" w:cs="Times New Roman"/>
          <w:kern w:val="0"/>
          <w:sz w:val="32"/>
          <w:szCs w:val="32"/>
          <w:lang w:val="en-US" w:eastAsia="zh-CN"/>
        </w:rPr>
        <w:t>0.09</w:t>
      </w:r>
      <w:r>
        <w:rPr>
          <w:rFonts w:hint="default" w:ascii="Times New Roman" w:hAnsi="Times New Roman" w:eastAsia="仿宋_GB2312" w:cs="Times New Roman"/>
          <w:kern w:val="0"/>
          <w:sz w:val="32"/>
          <w:szCs w:val="32"/>
          <w:lang w:val="en-US" w:eastAsia="zh-CN"/>
        </w:rPr>
        <w:t>万元，下降</w:t>
      </w:r>
      <w:r>
        <w:rPr>
          <w:rFonts w:hint="eastAsia" w:ascii="Times New Roman" w:hAnsi="Times New Roman" w:eastAsia="仿宋_GB2312" w:cs="Times New Roman"/>
          <w:kern w:val="0"/>
          <w:sz w:val="32"/>
          <w:szCs w:val="32"/>
          <w:lang w:val="en-US" w:eastAsia="zh-CN"/>
        </w:rPr>
        <w:t>24.32</w:t>
      </w:r>
      <w:r>
        <w:rPr>
          <w:rFonts w:hint="default" w:ascii="Times New Roman" w:hAnsi="Times New Roman" w:eastAsia="仿宋_GB2312" w:cs="Times New Roman"/>
          <w:kern w:val="0"/>
          <w:sz w:val="32"/>
          <w:szCs w:val="32"/>
          <w:lang w:val="en-US" w:eastAsia="zh-CN"/>
        </w:rPr>
        <w:t>%，原因主要是人员减少。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7、卫生健康支出（类）行政事业单位医疗（款）行政单位医疗（项）</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年预算</w:t>
      </w:r>
      <w:r>
        <w:rPr>
          <w:rFonts w:hint="eastAsia" w:ascii="Times New Roman" w:hAnsi="Times New Roman" w:eastAsia="仿宋_GB2312" w:cs="Times New Roman"/>
          <w:kern w:val="0"/>
          <w:sz w:val="32"/>
          <w:szCs w:val="32"/>
          <w:lang w:val="en-US" w:eastAsia="zh-CN"/>
        </w:rPr>
        <w:t>7.40</w:t>
      </w:r>
      <w:r>
        <w:rPr>
          <w:rFonts w:hint="default" w:ascii="Times New Roman" w:hAnsi="Times New Roman" w:eastAsia="仿宋_GB2312" w:cs="Times New Roman"/>
          <w:kern w:val="0"/>
          <w:sz w:val="32"/>
          <w:szCs w:val="32"/>
          <w:lang w:val="en-US" w:eastAsia="zh-CN"/>
        </w:rPr>
        <w:t>万元，比2023年减少0.09万元，下降24.32%，原因主要是人员减少。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8、卫生健康支出（类）行政事业单位医疗（款）公务员医疗补助（项</w:t>
      </w:r>
      <w:r>
        <w:rPr>
          <w:rFonts w:hint="eastAsia"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年预算</w:t>
      </w:r>
      <w:r>
        <w:rPr>
          <w:rFonts w:hint="eastAsia" w:ascii="Times New Roman" w:hAnsi="Times New Roman" w:eastAsia="仿宋_GB2312" w:cs="Times New Roman"/>
          <w:kern w:val="0"/>
          <w:sz w:val="32"/>
          <w:szCs w:val="32"/>
          <w:lang w:val="en-US" w:eastAsia="zh-CN"/>
        </w:rPr>
        <w:t>2.64</w:t>
      </w:r>
      <w:r>
        <w:rPr>
          <w:rFonts w:hint="default" w:ascii="Times New Roman" w:hAnsi="Times New Roman" w:eastAsia="仿宋_GB2312" w:cs="Times New Roman"/>
          <w:kern w:val="0"/>
          <w:sz w:val="32"/>
          <w:szCs w:val="32"/>
          <w:lang w:val="en-US" w:eastAsia="zh-CN"/>
        </w:rPr>
        <w:t>万元，比2023年减少0.09万元，下降24.32%，原因主要是人员减少。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bCs/>
          <w:kern w:val="0"/>
          <w:sz w:val="32"/>
          <w:szCs w:val="32"/>
          <w:lang w:val="en-US" w:eastAsia="zh-CN"/>
        </w:rPr>
        <w:t>9、住房保障支出（类）住房改革支出（款）住房公积金（项）</w:t>
      </w:r>
      <w:r>
        <w:rPr>
          <w:rFonts w:hint="eastAsia" w:ascii="Times New Roman" w:hAnsi="Times New Roman" w:eastAsia="仿宋_GB2312" w:cs="Times New Roman"/>
          <w:kern w:val="0"/>
          <w:sz w:val="32"/>
          <w:szCs w:val="32"/>
          <w:lang w:val="en-US" w:eastAsia="zh-CN"/>
        </w:rPr>
        <w:t>2024年预算14.82万元，比2023年减少9.78万元，下降39.76%，原因主要是人员减少。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bCs/>
          <w:kern w:val="0"/>
          <w:sz w:val="32"/>
          <w:szCs w:val="32"/>
          <w:lang w:val="en-US" w:eastAsia="zh-CN"/>
        </w:rPr>
        <w:t>10、住房保障支出（类）住房改革支出（款）提租补贴（项）</w:t>
      </w:r>
      <w:r>
        <w:rPr>
          <w:rFonts w:hint="eastAsia" w:ascii="Times New Roman" w:hAnsi="Times New Roman" w:eastAsia="仿宋_GB2312" w:cs="Times New Roman"/>
          <w:kern w:val="0"/>
          <w:sz w:val="32"/>
          <w:szCs w:val="32"/>
          <w:lang w:val="en-US" w:eastAsia="zh-CN"/>
        </w:rPr>
        <w:t>2024年预算5.41万元，比2023年预算增加5.41万元，原因主要是2023年预算编制是未执行提租补贴。</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bCs/>
          <w:kern w:val="0"/>
          <w:sz w:val="32"/>
          <w:szCs w:val="32"/>
          <w:lang w:val="en-US" w:eastAsia="zh-CN"/>
        </w:rPr>
        <w:t>11、住房保障支出（类）住房改革支出（款）购房补贴（项）</w:t>
      </w:r>
      <w:r>
        <w:rPr>
          <w:rFonts w:hint="eastAsia" w:ascii="Times New Roman" w:hAnsi="Times New Roman" w:eastAsia="仿宋_GB2312" w:cs="Times New Roman"/>
          <w:kern w:val="0"/>
          <w:sz w:val="32"/>
          <w:szCs w:val="32"/>
          <w:lang w:val="en-US" w:eastAsia="zh-CN"/>
        </w:rPr>
        <w:t>2024年预算6.18万元，比2023年减少4.07万元，下降39.71%，原因主要是人员减少。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2024年一般公共预算基本支出</w:t>
      </w:r>
      <w:r>
        <w:rPr>
          <w:rFonts w:hint="eastAsia" w:ascii="Times New Roman" w:hAnsi="Times New Roman" w:eastAsia="仿宋_GB2312" w:cs="Times New Roman"/>
          <w:kern w:val="0"/>
          <w:sz w:val="32"/>
          <w:szCs w:val="32"/>
          <w:lang w:val="en-US" w:eastAsia="zh-CN"/>
        </w:rPr>
        <w:t>299.00</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265.75</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33.25</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265.75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基本工资、津贴补贴、奖金、绩效工资、机关事业单位基本养老保险费、职业年金缴费、职工基本医疗保险缴费、公务员医疗补助缴费、其他社会保障缴费、住房公积金</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办公费、</w:t>
      </w:r>
      <w:r>
        <w:rPr>
          <w:rFonts w:hint="default" w:ascii="Times New Roman" w:hAnsi="Times New Roman" w:eastAsia="仿宋_GB2312" w:cs="Times New Roman"/>
          <w:kern w:val="0"/>
          <w:sz w:val="32"/>
          <w:szCs w:val="32"/>
        </w:rPr>
        <w:t>工会经费、福利费、对其他个人和家庭的补助支出。</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33.25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主要包括：办公费、劳务费、</w:t>
      </w:r>
      <w:r>
        <w:rPr>
          <w:rFonts w:hint="default" w:ascii="Times New Roman" w:hAnsi="Times New Roman" w:eastAsia="仿宋_GB2312" w:cs="Times New Roman"/>
          <w:kern w:val="0"/>
          <w:sz w:val="32"/>
          <w:szCs w:val="32"/>
          <w:lang w:val="en-US" w:eastAsia="zh-CN"/>
        </w:rPr>
        <w:t>其他交通费用、其他商品和服务支出</w:t>
      </w:r>
      <w:r>
        <w:rPr>
          <w:rFonts w:hint="default" w:ascii="Times New Roman" w:hAnsi="Times New Roman" w:eastAsia="仿宋_GB2312" w:cs="Times New Roman"/>
          <w:kern w:val="0"/>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2024年预算共安排项目支出</w:t>
      </w:r>
      <w:r>
        <w:rPr>
          <w:rFonts w:hint="eastAsia"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244.00</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50.24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部门预算项目“企业融资、上市(挂牌)奖励”项目列入财政统筹</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万元，政府性基金预算拨款安排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2024年没有使用一般公共预算拨款、政府性基金预算拨款、国有资本经营预算拨款、财政专户管理资金和单位资金安排的政府采购支出。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2024年没有安排政府购买服务支出。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1、“打击非法集资经费”项目。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近年来，民间融资活动演变为高利贷、非法集资等违法违规活动的趋势在增加，给金融稳定和社会安定带来隐患。为维护正常的金融秩序和社会稳定、保护广大人民群众的切身利益，强化宣传教育和舆论引导，积极协同有关部门，加大对涉嫌非法集资行为的打击力度，辖内非法集资行为的打击力度，辖内非法集资活动得到有效控制，不形成大的风险。</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（2）立项依据：《关于落实2010年处置非法集资部级联席会议及有关文件精神的报告》（淮处非联办〔2010〕3号）；《关于调整淮北市打击和处置非法集资工作领导小组人员的通知》（淮处非〔2016〕11号）。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（3）实施主体：市地方金融监管局。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建立健全防范预警机制，完善信息共享、通报机制，形成打非合力，继续加大对重点非法集资企业的打击力度。进一步建立健全我市打击和处置非法集资工作机制和程序，切实担负起打击和处置非法集资工作的责任，并将此项工作纳入经济社会综合评价体系，抓好综合治理的长效机制建设工作。</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（6）年度预算安排：15.60万元。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34"/>
        <w:gridCol w:w="885"/>
        <w:gridCol w:w="3195"/>
        <w:gridCol w:w="108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6"/>
            <w:tcBorders>
              <w:top w:val="nil"/>
              <w:left w:val="nil"/>
              <w:right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48" w:type="dxa"/>
            <w:gridSpan w:val="4"/>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r>
              <w:rPr>
                <w:rFonts w:hint="default" w:ascii="Times New Roman" w:hAnsi="Times New Roman" w:cs="Times New Roman"/>
                <w:sz w:val="20"/>
              </w:rPr>
              <w:t>打击非法集资经费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72"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主管部门及代码</w:t>
            </w:r>
          </w:p>
        </w:tc>
        <w:tc>
          <w:tcPr>
            <w:tcW w:w="4080"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淮北市地方金融监管局290001</w:t>
            </w:r>
          </w:p>
        </w:tc>
        <w:tc>
          <w:tcPr>
            <w:tcW w:w="108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淮北市地方金融监管局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4080"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本级申报</w:t>
            </w:r>
          </w:p>
        </w:tc>
        <w:tc>
          <w:tcPr>
            <w:tcW w:w="108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4080"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年度资金总额：</w:t>
            </w:r>
          </w:p>
        </w:tc>
        <w:tc>
          <w:tcPr>
            <w:tcW w:w="3468"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4080"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其中：财政拨款</w:t>
            </w:r>
          </w:p>
        </w:tc>
        <w:tc>
          <w:tcPr>
            <w:tcW w:w="3468"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4080"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上年结转</w:t>
            </w:r>
          </w:p>
        </w:tc>
        <w:tc>
          <w:tcPr>
            <w:tcW w:w="3468"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2"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4080"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其他资金</w:t>
            </w:r>
          </w:p>
        </w:tc>
        <w:tc>
          <w:tcPr>
            <w:tcW w:w="3468"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3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5"/>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cs="Times New Roman"/>
                <w:sz w:val="20"/>
              </w:rPr>
            </w:pPr>
            <w:r>
              <w:rPr>
                <w:rFonts w:hint="default" w:ascii="Times New Roman" w:hAnsi="Times New Roman" w:cs="Times New Roman"/>
                <w:sz w:val="20"/>
              </w:rPr>
              <w:t>建立健全防范预警机制，完善信息共享、通报机制，形成打非合力，继续加大对重点非法集资企业的打击力度。进一步建立健全我市打击和处置非法集资工作机制和程序，切实担负起打击和处置非法集资工作的责任，并将此项工作纳入经济社会综合评价体系，抓好综合治理的长效机制建设工作。开通处非平台云账号，提供总体分析、正常监测、重点监测、高风险预警、调查介入、监测对象查询等服务，减少案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38"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1034"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一级指标</w:t>
            </w: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指标：金融风险集中排查800家。</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指标：金融风险集中排查800家。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指标：非法集资案件处置（大案要案）</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指标：非法集资案件处置（大案要案）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指标：全年陈案处置任务。</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指标：全年陈案处置任务。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指标：监测各类广告和资讯信息2000条。</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指标：监测各类广告和资讯信息2000条。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指标：新发案件数、新发案件集资金额、参与人数较往年同期呈下降趋势</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指标：新发案件数、新发案件集资金额、参与人数较往年同期呈下降趋势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指标：突发事件的应急预案</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指标：突发事件的应急预案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指标：宣传活动15场次</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指标：宣传活动15场次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指标：加强行业治理、防控金融风险</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指标：加强行业治理、防控金融风险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cs="Times New Roman"/>
                <w:sz w:val="20"/>
              </w:rPr>
            </w:pPr>
          </w:p>
        </w:tc>
        <w:tc>
          <w:tcPr>
            <w:tcW w:w="1034"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88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3195"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指标：服务对象满意</w:t>
            </w:r>
          </w:p>
        </w:tc>
        <w:tc>
          <w:tcPr>
            <w:tcW w:w="346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ind w:left="0" w:leftChars="0" w:right="0" w:rightChars="0" w:firstLine="0" w:firstLineChars="0"/>
              <w:jc w:val="both"/>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指标：服务对象满意</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、“促进金融业发展工作经费”项目。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分阶段、有步骤、按计划采取实地走访、会议座谈等形式调查了解全市银行业金融机构近期的信贷投放规模、投放方向、采取的办法和举措，坚持按季考核、按季调度，引导金融机构加快信贷投放进度。通过采取外地考察学习，本地金融机构调研、座谈、材料交流等形式，研究并推广信贷业务新品种。加大金融机构建设工作。</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鼓励企业开展首发上市、全国中小企业股份转让系统挂牌和安徽省区域性股权交易市场挂牌工作；推动已上市（挂牌）企业利用多层次资本市场开展再融资工作。联系证券监管机构和证券业协会，联系和服务资本市场中介机构。开展各类宣传培训，引导企业转变融资理念，鼓励企业进入多层次资本市场。</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政府、金融机构与淮北市企业进行对接，宣传淮北政策，介绍淮北经济发展现状，争取更多资金支持淮北经济社会发展。强化政银企对接，实现政银企间相互沟通、资金项目对接、互惠双赢、共同发展，进一步满足我市企业的信贷资金需求。为支持淮北经济发展，引进更多的银行业分支机构，增强淮北金融活力，争取更多的资金支持。</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淮北市人民政府办公室关于印发淮北市银行业金融机构支持地方经济发展考核奖励暂行办法的通知》（淮政办〔2011〕12号）《淮北市地方金融监督管理局职能配置、内设机构和人员编制规定》（办〔2019〕17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2014年2月20日市政府第7号专题会议纪要；依据《关于进一步加快推进中小企业上市工作的意见》（淮政〔2011〕34号）;《淮北市人民政府关于鼓励企业进入“新三板”和场外市场挂牌融资工作的意见》（淮政〔2013〕53号）；《淮北市人民政府关于成立市企业上市工作领导小组的通知》（淮政办秘〔2014〕14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：市地方金融监管局</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了解全市银行业金融机构近期的信贷投放规模、投放方向、采取的办法和举措，通过采取外地考察学习，本地金融机构调研、座谈、材料交流等形式，研究并推广信贷业务新品种，加大金融机构建设工作。推动企业开展上市挂牌融资工作，鼓励符合条件的优质企业利用多层次资本市场规范治理结构、拓宽融资渠道，实施并购重组，实现转型升级。政府、金融机构与淮北市企业进行对接，宣传淮北政策，介绍淮北经济发展现状，争取更多资金支持淮北经济社会发展。</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33.50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33"/>
        <w:gridCol w:w="172"/>
        <w:gridCol w:w="784"/>
        <w:gridCol w:w="3480"/>
        <w:gridCol w:w="9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促进金融业发展工作经费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4264"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淮北市地方金融监管局290001</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淮北市地方金融监管局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4264"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本级申报</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pPr>
              <w:keepNext w:val="0"/>
              <w:keepLines w:val="0"/>
              <w:pageBreakBefore w:val="0"/>
              <w:kinsoku/>
              <w:wordWrap/>
              <w:overflowPunct/>
              <w:topLinePunct w:val="0"/>
              <w:autoSpaceDE/>
              <w:autoSpaceDN/>
              <w:bidi w:val="0"/>
              <w:spacing w:line="580" w:lineRule="atLeast"/>
              <w:jc w:val="left"/>
              <w:rPr>
                <w:rFonts w:hint="default" w:ascii="Times New Roman" w:hAnsi="Times New Roman" w:cs="Times New Roman"/>
                <w:sz w:val="20"/>
              </w:rPr>
            </w:pPr>
            <w:r>
              <w:rPr>
                <w:rFonts w:hint="default" w:ascii="Times New Roman" w:hAnsi="Times New Roman" w:cs="Times New Roman"/>
                <w:sz w:val="20"/>
                <w:lang w:eastAsia="zh-CN"/>
              </w:rPr>
              <w:t>了解全市银行业金融机构近期的信贷投放规模、投放方向、采取的办法和举措，通过采取外地考察学习，本地金融机构调研、座谈、材料交流等形式，研究并推广信贷业务新品种，加大金融机构建设工作。推动企业开展上市挂牌融资工作，鼓励符合条件的优质企业利用多层次资本市场规范治理结构、拓宽融资渠道，实施并购重组，实现转型升级。政府、金融机构与淮北市企业进行对接，宣传淮北政策，介绍淮北经济发展现状，争取更多资金支持淮北经济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833"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保障金融工作正常运行、全市上市挂牌企业数量300家。</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保障金融工作正常运行、全市上市挂牌企业数量300家。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促进中小企业发展、召开政银企对接会议15次、规范性股份制改造企业数量4家。</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促进中小企业发展、召开政银企对接会议15次、规范性股份制改造企业数量4家。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创新中小企业贷款模式、达成意向融资。</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创新中小企业贷款模式、达成意向融资。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研究推广信贷业务新品种、印制项目（企业）推介册200份。</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研究推广信贷业务新品种、印制项目（企业）推介册200份。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完成全年信贷增长目标、新增直接融资100亿元、争取更多资金支持淮北地方经济。</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完成全年信贷增长目标、新增直接融资100亿元、争取更多资金支持淮北地方经济。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加大银行支持地方经济发展力度、上市企业数量增至5家。</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加大银行支持地方经济发展力度、上市企业数量增至5家。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加强政府、银行、企业良性发展、中小企业健康有序发展、构建完善的多层次资本市场体系。</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加强政府、银行、企业良性发展、中小企业健康有序发展、构建完善的多层次资本市场体系。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实现政银企之间项目对接，共同发展、构建完善的多层次资本市场体系。</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实现政银企之间项目对接，共同发展、构建完善的多层次资本市场体系。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33"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95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服务对象满意</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服务对象满意</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淮北市</w:t>
      </w:r>
      <w:r>
        <w:rPr>
          <w:rFonts w:hint="default" w:ascii="Times New Roman" w:hAnsi="Times New Roman" w:eastAsia="仿宋_GB2312" w:cs="Times New Roman"/>
          <w:kern w:val="0"/>
          <w:sz w:val="32"/>
          <w:szCs w:val="32"/>
        </w:rPr>
        <w:t>党建引领信用村建设工作经费”项目。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：紧紧聚焦实现“党建引领、信用支撑、支持发展、规范行为”目标，坚持有用有效方便，推行“党建+信用”，做好党建引领信用村建设各项工作。202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年，进一步扩大党建引领信用村建设范围，覆盖全市</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lang w:eastAsia="zh-CN"/>
        </w:rPr>
        <w:t>％行政村。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：关于印发《推行“党建+信用”开展党建引领信用村建设工作方案》的通知（皖信用村〔2022〕1号）。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：市地方金融监管局</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：坚持有用有效方便，推行“党建+信用”，做好党建引领信用村建设各项工作。202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年，进一步扩大党建引领信用村建设范围，覆盖全市</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lang w:eastAsia="zh-CN"/>
        </w:rPr>
        <w:t>％行政村。</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10万元。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93"/>
        <w:gridCol w:w="112"/>
        <w:gridCol w:w="784"/>
        <w:gridCol w:w="3480"/>
        <w:gridCol w:w="9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淮北市党建引领信用村建设工作经费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4264"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淮北市地方金融监管局290001</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淮北市地方金融监管局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4264"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本级申报</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4264"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3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pPr>
              <w:keepNext w:val="0"/>
              <w:keepLines w:val="0"/>
              <w:pageBreakBefore w:val="0"/>
              <w:kinsoku/>
              <w:wordWrap/>
              <w:overflowPunct/>
              <w:topLinePunct w:val="0"/>
              <w:autoSpaceDE/>
              <w:autoSpaceDN/>
              <w:bidi w:val="0"/>
              <w:spacing w:line="580" w:lineRule="atLeast"/>
              <w:jc w:val="left"/>
              <w:rPr>
                <w:rFonts w:hint="default" w:ascii="Times New Roman" w:hAnsi="Times New Roman" w:cs="Times New Roman"/>
                <w:sz w:val="20"/>
              </w:rPr>
            </w:pPr>
            <w:r>
              <w:rPr>
                <w:rFonts w:hint="default" w:ascii="Times New Roman" w:hAnsi="Times New Roman" w:cs="Times New Roman"/>
                <w:sz w:val="20"/>
                <w:lang w:eastAsia="zh-CN"/>
              </w:rPr>
              <w:t>通过不断完善和持续建设，着力解决产业发展缺资金、陈规陋习缺约束、组织建设缺抓手等问题，引领农村主体向上向善，初步形成高等级的农村信用生态环境。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38"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893"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进一步扩大党建引领信用村建设范围，覆盖全市100％行政村。</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进一步扩大党建引领信用村建设范围，覆盖全市100％行政村。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引领农村主体向上向善，初步形成高等级的农村信用生态环境。</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引领农村主体向上向善，初步形成高等级的农村信用生态环境。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按照省有关要求和时间节点，有计划、有组织、有步骤地稳步推进“党建+信用”工作。</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按照省有关要求和时间节点，有计划、有组织、有步骤地稳步推进“党建+信用”工作。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召开专题会议，研究部署工作，及时解决问题，落实乡风文明评议、信息采集、信用评级、结果运用等各项任务。运用网络新媒体、宣传栏、乡村大喇叭等载体，采取群众喜闻乐见的形式，大力宣传党的“三农”政策、乡村振兴战略等。开展实务培训，重点培训入户数据采集、系统平台使用、乡风文明评议、乡村产业发展、普惠金融服务等内容。</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召开专题会议，研究部署工作，及时解决问题，落实乡风文明评议、信息采集、信用评级、结果运用等各项任务。运用网络新媒体、宣传栏、乡村大喇叭等载体，采取群众喜闻乐见的形式，大力宣传党的“三农”政策、乡村振兴战略等。开展实务培训，重点培训入户数据采集、系统平台使用、乡风文明评议、乡村产业发展、普惠金融服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建立健全“党建+信用”结果运用政策体系，拉长信用福利清单，拓展政务服务、教育、医疗、交通、通信、文化、旅游、购物、智慧农业等领域结果运用场景，鼓励引导市场主体运用信用评价结果。</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建立健全“党建+信用”结果运用政策体系，拉长信用福利清单，拓展政务服务、教育、医疗、交通、通信、文化、旅游、购物、智慧农业等领域结果运用场景，鼓励引导市场主体运用信用评价结果。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组织金融机构深入农村，有针对性加强金融政策宣传解读，努力提高农户知晓率。引导金融机构深耕普惠金融，持续发挥金融对农业发展的支持作用，提升服务质效，促进农民增收，提升乡风文明水平。</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组织金融机构深入农村，有针对性加强金融政策宣传解读，努力提高农户知晓率。引导金融机构深耕普惠金融，持续发挥金融对农业发展的支持作用，提升服务质效，促进农民增收，提升乡风文明水平。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初步达到了农民群众有实惠、金融机构有收益、乡村治理有提升、基层组织有加强的目的。</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初步达到了农民群众有实惠、金融机构有收益、乡村治理有提升、基层组织有加强的目的。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乡风文明进一步向善向好，产业发展进一步做大做优，干部队伍进一步增强增力，基层组织进一步坚实坚固。</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乡风文明进一步向善向好，产业发展进一步做大做优，干部队伍进一步增强增力，基层组织进一步坚实坚固。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893"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89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34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各信用主体满意度100%</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各信用主体满意度100%</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4、“银行业金融机构考核奖”项目。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（1）项目概述：通过评价信贷投放情况、贷款增速、存贷比、民营企业、小微企业贷款增量和增速、涉农贷款增量和增速、绿色贷款等各项指标，不断提升金融服务实体经济水平。</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（2）立项依据：《淮北市银行业金融机构服务地方实体经济发展评价办法》（淮金〔2019〕70号）。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（3）实施主体：市地方金融监管局。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围绕服务实体经济、防控金融风险、深化金融改革三大任务，贯彻国家金融方针政策，落实市委、市政府重大战略部署和重点工作要求，支持服务淮北经济社会发展。通过评价信贷投放情况、贷款增速、存贷比、民营企业、小微企业贷款增量和增速、涉农贷款增量和增速、绿色贷款等各项指标，不断提升金融服务实体经济水平。</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（6）年度预算安排：80万元。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Style w:val="6"/>
        <w:tblW w:w="9020" w:type="dxa"/>
        <w:tblInd w:w="93" w:type="dxa"/>
        <w:tblLayout w:type="fixed"/>
        <w:tblCellMar>
          <w:top w:w="0" w:type="dxa"/>
          <w:left w:w="108" w:type="dxa"/>
          <w:bottom w:w="0" w:type="dxa"/>
          <w:right w:w="108" w:type="dxa"/>
        </w:tblCellMar>
      </w:tblPr>
      <w:tblGrid>
        <w:gridCol w:w="416"/>
        <w:gridCol w:w="820"/>
        <w:gridCol w:w="1713"/>
        <w:gridCol w:w="2010"/>
        <w:gridCol w:w="868"/>
        <w:gridCol w:w="597"/>
        <w:gridCol w:w="2596"/>
      </w:tblGrid>
      <w:tr>
        <w:tblPrEx>
          <w:tblCellMar>
            <w:top w:w="0" w:type="dxa"/>
            <w:left w:w="108" w:type="dxa"/>
            <w:bottom w:w="0" w:type="dxa"/>
            <w:right w:w="108" w:type="dxa"/>
          </w:tblCellMar>
        </w:tblPrEx>
        <w:trPr>
          <w:trHeight w:val="360" w:hRule="atLeast"/>
        </w:trPr>
        <w:tc>
          <w:tcPr>
            <w:tcW w:w="9020" w:type="dxa"/>
            <w:gridSpan w:val="7"/>
            <w:tcBorders>
              <w:top w:val="nil"/>
              <w:left w:val="nil"/>
              <w:bottom w:val="nil"/>
              <w:right w:val="nil"/>
            </w:tcBorders>
            <w:noWrap w:val="0"/>
            <w:vAlign w:val="center"/>
          </w:tcPr>
          <w:p>
            <w:pPr>
              <w:rPr>
                <w:rFonts w:ascii="Times New Roman" w:hAnsi="Times New Roman" w:eastAsia="宋体" w:cs="Times New Roman"/>
                <w:b/>
                <w:bCs/>
                <w:sz w:val="32"/>
                <w:szCs w:val="32"/>
              </w:rPr>
            </w:pPr>
          </w:p>
          <w:p>
            <w:pPr>
              <w:jc w:val="center"/>
              <w:rPr>
                <w:rFonts w:ascii="宋体" w:hAnsi="宋体" w:eastAsia="宋体" w:cs="宋体"/>
                <w:b/>
                <w:bCs/>
                <w:sz w:val="32"/>
                <w:szCs w:val="32"/>
              </w:rPr>
            </w:pPr>
            <w:r>
              <w:rPr>
                <w:rFonts w:hint="eastAsia" w:ascii="Times New Roman" w:hAnsi="Times New Roman" w:eastAsia="宋体" w:cs="Times New Roman"/>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7"/>
            <w:tcBorders>
              <w:top w:val="nil"/>
              <w:left w:val="nil"/>
              <w:bottom w:val="nil"/>
              <w:right w:val="nil"/>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（202</w:t>
            </w:r>
            <w:r>
              <w:rPr>
                <w:rFonts w:hint="eastAsia" w:ascii="Times New Roman" w:hAnsi="Times New Roman" w:eastAsia="宋体" w:cs="Times New Roman"/>
                <w:sz w:val="20"/>
                <w:szCs w:val="20"/>
                <w:lang w:val="en-US" w:eastAsia="zh-CN"/>
              </w:rPr>
              <w:t>4</w:t>
            </w:r>
            <w:r>
              <w:rPr>
                <w:rFonts w:hint="eastAsia" w:ascii="Times New Roman" w:hAnsi="Times New Roman" w:eastAsia="宋体" w:cs="Times New Roman"/>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项目名称</w:t>
            </w:r>
          </w:p>
        </w:tc>
        <w:tc>
          <w:tcPr>
            <w:tcW w:w="7784"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 w:val="20"/>
                <w:szCs w:val="20"/>
              </w:rPr>
            </w:pPr>
            <w:r>
              <w:rPr>
                <w:rFonts w:hint="default" w:ascii="Times New Roman" w:hAnsi="Times New Roman" w:eastAsia="宋体" w:cs="Times New Roman"/>
                <w:kern w:val="0"/>
                <w:sz w:val="18"/>
                <w:szCs w:val="18"/>
                <w:lang w:val="en-US" w:eastAsia="zh-CN"/>
              </w:rPr>
              <w:t>银行业金融机构考核奖</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主管部门</w:t>
            </w:r>
          </w:p>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及代码</w:t>
            </w:r>
          </w:p>
        </w:tc>
        <w:tc>
          <w:tcPr>
            <w:tcW w:w="372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kern w:val="0"/>
                <w:sz w:val="22"/>
                <w:szCs w:val="22"/>
              </w:rPr>
              <w:t>市地方金融监管局</w:t>
            </w:r>
            <w:r>
              <w:rPr>
                <w:rFonts w:hint="eastAsia" w:ascii="宋体" w:hAnsi="宋体" w:eastAsia="宋体" w:cs="宋体"/>
                <w:kern w:val="0"/>
                <w:sz w:val="22"/>
                <w:szCs w:val="22"/>
                <w:lang w:val="en-US" w:eastAsia="zh-CN"/>
              </w:rPr>
              <w:t>290001</w:t>
            </w:r>
          </w:p>
        </w:tc>
        <w:tc>
          <w:tcPr>
            <w:tcW w:w="146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实施单位</w:t>
            </w:r>
          </w:p>
        </w:tc>
        <w:tc>
          <w:tcPr>
            <w:tcW w:w="25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2"/>
                <w:szCs w:val="22"/>
              </w:rPr>
              <w:t>市地方金融监管局</w:t>
            </w:r>
          </w:p>
        </w:tc>
      </w:tr>
      <w:tr>
        <w:tblPrEx>
          <w:tblCellMar>
            <w:top w:w="0" w:type="dxa"/>
            <w:left w:w="108" w:type="dxa"/>
            <w:bottom w:w="0" w:type="dxa"/>
            <w:right w:w="108" w:type="dxa"/>
          </w:tblCellMar>
        </w:tblPrEx>
        <w:trPr>
          <w:trHeight w:val="35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项目来源</w:t>
            </w:r>
          </w:p>
        </w:tc>
        <w:tc>
          <w:tcPr>
            <w:tcW w:w="372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本级申报</w:t>
            </w:r>
          </w:p>
        </w:tc>
        <w:tc>
          <w:tcPr>
            <w:tcW w:w="146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2"/>
                <w:szCs w:val="22"/>
                <w:lang w:val="en-US" w:eastAsia="zh-CN"/>
              </w:rPr>
            </w:pPr>
            <w:r>
              <w:rPr>
                <w:rFonts w:hint="eastAsia" w:ascii="宋体" w:hAnsi="宋体" w:eastAsia="宋体" w:cs="宋体"/>
                <w:color w:val="000000"/>
                <w:kern w:val="0"/>
                <w:sz w:val="20"/>
                <w:szCs w:val="20"/>
              </w:rPr>
              <w:t>项目期</w:t>
            </w:r>
          </w:p>
        </w:tc>
        <w:tc>
          <w:tcPr>
            <w:tcW w:w="2596"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2024年1-12月</w:t>
            </w:r>
          </w:p>
        </w:tc>
      </w:tr>
      <w:tr>
        <w:tblPrEx>
          <w:tblCellMar>
            <w:top w:w="0" w:type="dxa"/>
            <w:left w:w="108" w:type="dxa"/>
            <w:bottom w:w="0" w:type="dxa"/>
            <w:right w:w="108" w:type="dxa"/>
          </w:tblCellMar>
        </w:tblPrEx>
        <w:trPr>
          <w:trHeight w:val="330" w:hRule="atLeast"/>
        </w:trPr>
        <w:tc>
          <w:tcPr>
            <w:tcW w:w="2949"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项目资金</w:t>
            </w:r>
          </w:p>
          <w:p>
            <w:pPr>
              <w:jc w:val="center"/>
              <w:rPr>
                <w:rFonts w:ascii="宋体" w:hAnsi="宋体" w:eastAsia="宋体" w:cs="宋体"/>
                <w:sz w:val="20"/>
                <w:szCs w:val="20"/>
              </w:rPr>
            </w:pPr>
            <w:r>
              <w:rPr>
                <w:rFonts w:hint="eastAsia" w:ascii="Times New Roman" w:hAnsi="Times New Roman" w:eastAsia="宋体" w:cs="Times New Roman"/>
                <w:sz w:val="20"/>
                <w:szCs w:val="20"/>
              </w:rPr>
              <w:t>（万元）</w:t>
            </w:r>
          </w:p>
        </w:tc>
        <w:tc>
          <w:tcPr>
            <w:tcW w:w="2878"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Times New Roman" w:hAnsi="Times New Roman" w:eastAsia="宋体" w:cs="Times New Roman"/>
                <w:sz w:val="20"/>
                <w:szCs w:val="20"/>
              </w:rPr>
              <w:t>年度资金总额：</w:t>
            </w:r>
          </w:p>
        </w:tc>
        <w:tc>
          <w:tcPr>
            <w:tcW w:w="3193"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宋体" w:hAnsi="宋体" w:eastAsia="宋体" w:cs="宋体"/>
                <w:sz w:val="20"/>
                <w:szCs w:val="20"/>
                <w:lang w:val="en-US" w:eastAsia="zh-CN"/>
              </w:rPr>
            </w:pPr>
            <w:r>
              <w:rPr>
                <w:rFonts w:hint="eastAsia" w:ascii="Times New Roman" w:hAnsi="Times New Roman" w:eastAsia="宋体" w:cs="Times New Roman"/>
                <w:kern w:val="0"/>
                <w:sz w:val="18"/>
                <w:szCs w:val="18"/>
                <w:lang w:val="en-US" w:eastAsia="zh-CN"/>
              </w:rPr>
              <w:t>80</w:t>
            </w:r>
          </w:p>
        </w:tc>
      </w:tr>
      <w:tr>
        <w:tblPrEx>
          <w:tblCellMar>
            <w:top w:w="0" w:type="dxa"/>
            <w:left w:w="108" w:type="dxa"/>
            <w:bottom w:w="0" w:type="dxa"/>
            <w:right w:w="108" w:type="dxa"/>
          </w:tblCellMar>
        </w:tblPrEx>
        <w:trPr>
          <w:trHeight w:val="330" w:hRule="atLeast"/>
        </w:trPr>
        <w:tc>
          <w:tcPr>
            <w:tcW w:w="294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eastAsia="宋体" w:cs="宋体"/>
                <w:sz w:val="20"/>
                <w:szCs w:val="20"/>
              </w:rPr>
            </w:pPr>
          </w:p>
        </w:tc>
        <w:tc>
          <w:tcPr>
            <w:tcW w:w="287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其中：财政拨款</w:t>
            </w:r>
          </w:p>
        </w:tc>
        <w:tc>
          <w:tcPr>
            <w:tcW w:w="3193"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80</w:t>
            </w:r>
          </w:p>
        </w:tc>
      </w:tr>
      <w:tr>
        <w:tblPrEx>
          <w:tblCellMar>
            <w:top w:w="0" w:type="dxa"/>
            <w:left w:w="108" w:type="dxa"/>
            <w:bottom w:w="0" w:type="dxa"/>
            <w:right w:w="108" w:type="dxa"/>
          </w:tblCellMar>
        </w:tblPrEx>
        <w:trPr>
          <w:trHeight w:val="330" w:hRule="atLeast"/>
        </w:trPr>
        <w:tc>
          <w:tcPr>
            <w:tcW w:w="294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eastAsia="宋体" w:cs="宋体"/>
                <w:sz w:val="20"/>
                <w:szCs w:val="20"/>
              </w:rPr>
            </w:pPr>
          </w:p>
        </w:tc>
        <w:tc>
          <w:tcPr>
            <w:tcW w:w="2878" w:type="dxa"/>
            <w:gridSpan w:val="2"/>
            <w:tcBorders>
              <w:top w:val="nil"/>
              <w:left w:val="nil"/>
              <w:bottom w:val="single" w:color="auto" w:sz="4" w:space="0"/>
              <w:right w:val="single" w:color="auto" w:sz="4" w:space="0"/>
            </w:tcBorders>
            <w:noWrap w:val="0"/>
            <w:vAlign w:val="center"/>
          </w:tcPr>
          <w:p>
            <w:pPr>
              <w:widowControl/>
              <w:jc w:val="left"/>
              <w:textAlignment w:val="center"/>
              <w:rPr>
                <w:rFonts w:hint="eastAsia"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3193"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294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eastAsia="宋体" w:cs="宋体"/>
                <w:sz w:val="20"/>
                <w:szCs w:val="20"/>
              </w:rPr>
            </w:pPr>
          </w:p>
        </w:tc>
        <w:tc>
          <w:tcPr>
            <w:tcW w:w="2878" w:type="dxa"/>
            <w:gridSpan w:val="2"/>
            <w:tcBorders>
              <w:top w:val="nil"/>
              <w:left w:val="nil"/>
              <w:bottom w:val="single" w:color="auto" w:sz="4" w:space="0"/>
              <w:right w:val="single" w:color="000000" w:sz="4" w:space="0"/>
            </w:tcBorders>
            <w:noWrap w:val="0"/>
            <w:vAlign w:val="center"/>
          </w:tcPr>
          <w:p>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3193"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lang w:val="en-US" w:eastAsia="zh-CN"/>
              </w:rPr>
              <w:t>0</w:t>
            </w:r>
          </w:p>
        </w:tc>
      </w:tr>
      <w:tr>
        <w:tblPrEx>
          <w:tblCellMar>
            <w:top w:w="0" w:type="dxa"/>
            <w:left w:w="108" w:type="dxa"/>
            <w:bottom w:w="0" w:type="dxa"/>
            <w:right w:w="108" w:type="dxa"/>
          </w:tblCellMar>
        </w:tblPrEx>
        <w:trPr>
          <w:trHeight w:val="189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年度目标</w:t>
            </w:r>
          </w:p>
        </w:tc>
        <w:tc>
          <w:tcPr>
            <w:tcW w:w="8604" w:type="dxa"/>
            <w:gridSpan w:val="6"/>
            <w:tcBorders>
              <w:top w:val="single" w:color="auto" w:sz="4" w:space="0"/>
              <w:left w:val="nil"/>
              <w:bottom w:val="single" w:color="auto" w:sz="4" w:space="0"/>
              <w:right w:val="single" w:color="000000" w:sz="4" w:space="0"/>
            </w:tcBorders>
            <w:noWrap w:val="0"/>
            <w:vAlign w:val="center"/>
          </w:tcPr>
          <w:p>
            <w:pPr>
              <w:rPr>
                <w:rFonts w:ascii="宋体" w:hAnsi="宋体" w:eastAsia="宋体" w:cs="宋体"/>
                <w:sz w:val="20"/>
                <w:szCs w:val="20"/>
              </w:rPr>
            </w:pPr>
            <w:r>
              <w:rPr>
                <w:rFonts w:hint="eastAsia" w:ascii="Times New Roman" w:hAnsi="Times New Roman" w:eastAsia="宋体" w:cs="Times New Roman"/>
                <w:sz w:val="20"/>
                <w:szCs w:val="20"/>
              </w:rPr>
              <w:t>银行业金融机构加大信贷投放，加大对普惠金融、绿色金融等支持力度，防范金融风险，贯彻落实市委、市政府决策部署，提升金融服务实体经济水平。</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绩</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效</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指</w:t>
            </w:r>
          </w:p>
          <w:p>
            <w:pPr>
              <w:jc w:val="center"/>
              <w:rPr>
                <w:rFonts w:ascii="宋体" w:hAnsi="宋体" w:eastAsia="宋体" w:cs="宋体"/>
                <w:sz w:val="20"/>
                <w:szCs w:val="20"/>
              </w:rPr>
            </w:pPr>
            <w:r>
              <w:rPr>
                <w:rFonts w:hint="eastAsia" w:ascii="Times New Roman" w:hAnsi="Times New Roman" w:eastAsia="宋体" w:cs="Times New Roman"/>
                <w:sz w:val="20"/>
                <w:szCs w:val="20"/>
              </w:rPr>
              <w:t>标</w:t>
            </w:r>
          </w:p>
        </w:tc>
        <w:tc>
          <w:tcPr>
            <w:tcW w:w="820" w:type="dxa"/>
            <w:tcBorders>
              <w:top w:val="nil"/>
              <w:left w:val="nil"/>
              <w:bottom w:val="nil"/>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一级</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1713"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二级</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三级指标</w:t>
            </w:r>
          </w:p>
        </w:tc>
        <w:tc>
          <w:tcPr>
            <w:tcW w:w="319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指标值</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产</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出</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指</w:t>
            </w:r>
          </w:p>
          <w:p>
            <w:pPr>
              <w:jc w:val="center"/>
              <w:rPr>
                <w:rFonts w:ascii="宋体" w:hAnsi="宋体" w:eastAsia="宋体" w:cs="宋体"/>
                <w:sz w:val="20"/>
                <w:szCs w:val="20"/>
              </w:rPr>
            </w:pPr>
            <w:r>
              <w:rPr>
                <w:rFonts w:hint="eastAsia" w:ascii="Times New Roman" w:hAnsi="Times New Roman" w:eastAsia="宋体" w:cs="Times New Roman"/>
                <w:sz w:val="20"/>
                <w:szCs w:val="20"/>
              </w:rPr>
              <w:t>标</w:t>
            </w: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数量</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指标：依据评价办法具体指标知执行</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依据评价办法具体指标知执行</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质量</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指标：依据评价办法具体指标知执行</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依据评价办法具体指标知执行</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时效</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指标：长期促进淮北市经济发展</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长期促进淮北市经济发展</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成本</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指标：长期促进淮北市经济发展</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长期促进淮北市经济发展</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效</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益</w:t>
            </w:r>
          </w:p>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指</w:t>
            </w:r>
          </w:p>
          <w:p>
            <w:pPr>
              <w:jc w:val="center"/>
              <w:rPr>
                <w:rFonts w:ascii="宋体" w:hAnsi="宋体" w:eastAsia="宋体" w:cs="宋体"/>
                <w:sz w:val="20"/>
                <w:szCs w:val="20"/>
              </w:rPr>
            </w:pPr>
            <w:r>
              <w:rPr>
                <w:rFonts w:hint="eastAsia" w:ascii="Times New Roman" w:hAnsi="Times New Roman" w:eastAsia="宋体" w:cs="Times New Roman"/>
                <w:sz w:val="20"/>
                <w:szCs w:val="20"/>
              </w:rPr>
              <w:t>标</w:t>
            </w: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经济效益指标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指标：提升银行业金融机构支持地方发展工作水平，提升金融服务实体经济、防控金融风险、深化金融改革工作水平。</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提升银行业金融机构支持地方发展工作水平，提升金融服务实体经济、防控金融风险、深化金融改革工作水平。</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社会效益指标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指标：提高银行业金融机构支持淮北经济社会发展水平。</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提高银行业金融机构支持淮北经济社会发展水平。</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生态效益指标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指标：促进银行业金融机构服务良性发展。</w:t>
            </w:r>
          </w:p>
        </w:tc>
        <w:tc>
          <w:tcPr>
            <w:tcW w:w="319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促进银行业金融机构服务良性发展。</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szCs w:val="20"/>
              </w:rPr>
            </w:pPr>
          </w:p>
        </w:tc>
        <w:tc>
          <w:tcPr>
            <w:tcW w:w="1713" w:type="dxa"/>
            <w:tcBorders>
              <w:top w:val="nil"/>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rPr>
              <w:t>可持续影响</w:t>
            </w:r>
          </w:p>
          <w:p>
            <w:pPr>
              <w:jc w:val="center"/>
              <w:rPr>
                <w:rFonts w:ascii="宋体" w:hAnsi="宋体" w:eastAsia="宋体" w:cs="宋体"/>
                <w:sz w:val="20"/>
                <w:szCs w:val="20"/>
              </w:rPr>
            </w:pPr>
            <w:r>
              <w:rPr>
                <w:rFonts w:hint="eastAsia" w:ascii="Times New Roman" w:hAnsi="Times New Roman" w:eastAsia="宋体" w:cs="Times New Roman"/>
                <w:sz w:val="20"/>
                <w:szCs w:val="20"/>
              </w:rPr>
              <w:t>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指标：持续提升金融服务实体经济水平。</w:t>
            </w:r>
          </w:p>
        </w:tc>
        <w:tc>
          <w:tcPr>
            <w:tcW w:w="319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持续提升金融服务实体经济水平。</w:t>
            </w:r>
          </w:p>
        </w:tc>
      </w:tr>
      <w:tr>
        <w:tblPrEx>
          <w:tblCellMar>
            <w:top w:w="0" w:type="dxa"/>
            <w:left w:w="108" w:type="dxa"/>
            <w:bottom w:w="0" w:type="dxa"/>
            <w:right w:w="108" w:type="dxa"/>
          </w:tblCellMar>
        </w:tblPrEx>
        <w:trPr>
          <w:trHeight w:val="47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s="宋体"/>
                <w:sz w:val="20"/>
                <w:szCs w:val="20"/>
              </w:rPr>
            </w:pPr>
          </w:p>
        </w:tc>
        <w:tc>
          <w:tcPr>
            <w:tcW w:w="820" w:type="dxa"/>
            <w:vMerge w:val="restart"/>
            <w:tcBorders>
              <w:top w:val="nil"/>
              <w:left w:val="single" w:color="auto"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满意度指标</w:t>
            </w:r>
          </w:p>
        </w:tc>
        <w:tc>
          <w:tcPr>
            <w:tcW w:w="1713" w:type="dxa"/>
            <w:vMerge w:val="restart"/>
            <w:tcBorders>
              <w:top w:val="nil"/>
              <w:left w:val="single" w:color="auto" w:sz="4" w:space="0"/>
              <w:right w:val="single" w:color="auto" w:sz="4" w:space="0"/>
            </w:tcBorders>
            <w:noWrap w:val="0"/>
            <w:vAlign w:val="center"/>
          </w:tcPr>
          <w:p>
            <w:pPr>
              <w:jc w:val="center"/>
              <w:rPr>
                <w:rFonts w:ascii="宋体" w:hAnsi="宋体" w:eastAsia="宋体" w:cs="宋体"/>
                <w:sz w:val="20"/>
                <w:szCs w:val="20"/>
              </w:rPr>
            </w:pPr>
            <w:r>
              <w:rPr>
                <w:rFonts w:hint="eastAsia" w:ascii="Times New Roman" w:hAnsi="Times New Roman" w:eastAsia="宋体" w:cs="Times New Roman"/>
                <w:sz w:val="20"/>
                <w:szCs w:val="20"/>
              </w:rPr>
              <w:t>服务对象满意度指标</w:t>
            </w: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指标1：金融机构</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100℅</w:t>
            </w:r>
          </w:p>
        </w:tc>
      </w:tr>
      <w:tr>
        <w:tblPrEx>
          <w:tblCellMar>
            <w:top w:w="0" w:type="dxa"/>
            <w:left w:w="108" w:type="dxa"/>
            <w:bottom w:w="0" w:type="dxa"/>
            <w:right w:w="108" w:type="dxa"/>
          </w:tblCellMar>
        </w:tblPrEx>
        <w:trPr>
          <w:trHeight w:val="473" w:hRule="atLeast"/>
        </w:trPr>
        <w:tc>
          <w:tcPr>
            <w:tcW w:w="416"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Cs w:val="24"/>
              </w:rPr>
            </w:pPr>
          </w:p>
        </w:tc>
        <w:tc>
          <w:tcPr>
            <w:tcW w:w="820"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Cs w:val="24"/>
              </w:rPr>
            </w:pPr>
          </w:p>
        </w:tc>
        <w:tc>
          <w:tcPr>
            <w:tcW w:w="1713"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eastAsia="宋体" w:cs="Times New Roman"/>
                <w:szCs w:val="24"/>
              </w:rPr>
            </w:pPr>
          </w:p>
        </w:tc>
        <w:tc>
          <w:tcPr>
            <w:tcW w:w="287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指标2：中小企业</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100℅</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5、“平台运行维护费”项目。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淮北市综合金融服务平台项目建设主要包括软件开发、系统实施和软件测评及安全三级等保等，主要内容分为2个服务门户、4个管理平台、6个金融科技服务、银企智能撮合和税融通创新服务2大应用、金融服务数据库。淮北市党建引领信用村建设服务平台,是实现“整合数据、管理业务、落地应用”功能，推进淮北市域数据和省级数据整合对接。建设农村信用管理系统承接信用评价、金融服务、信用信息服务、乡风文明评议等业务管理，为党建引领信用村建设服务工作提供多样化的便捷服务渠道。</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关于印发淮北市2021年度市本级政府投资项目指导计划（调整稿）的通知》（淮发改投资〔2021〕412号）《关于印发〈安徽省党建引领信用村服务平台建设方案〉的通知》（皖信用村办〔2020〕16号）《淮北市人民政府办公室关于印发2022年政府网站及政务新媒体工作要点的通知》（淮政办秘〔2022〕24号）</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（3）实施主体：市地方金融监管局。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淮北市综合金融服务平台依托政府数据中心，以中小微企业金融服务事项的一体化办理为核心，依托大数据、云计算等先进技术，通过整合政府扶持政策、公共信用信息、企业金融需求、金融服务产品等各类资源，建立“一张网”覆盖全市中小微企业、“一键式”实现融资供需对接、“一站式”提升综合金融服务、“一次性”查询企业政务信息、“360度”提供贷后风险预警的五维金融服务。淮北市党建引领信用村建设服务平台以数据为基础，以评级为抓手，以应用为导向，逐步建成信用数据实时更新、信用主体画像精准、应用场景丰富、向农户、农企、金融机构、政府部门提供管理和服务的党建引领信用村建设服务平台体系，与省级平台统分结合、互联互通、业务协同。着力打造具有本市特色，服务乡村振兴的数字基础设施，助力提升基层党组织组织力，改善农村信用环境，增加农村金融供给，促进农业农村发展。</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（6）年度预算安排：77.60万元。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Style w:val="6"/>
        <w:tblW w:w="90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294"/>
        <w:gridCol w:w="1109"/>
        <w:gridCol w:w="346"/>
        <w:gridCol w:w="2918"/>
        <w:gridCol w:w="96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01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01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淮北市地方金融监管局290001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淮北市地方金融监管局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本级申报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综合金融服务平台依托政府数据中心，以中小微企业金融服务事项的一体化办理为核心，依托大数据、云计算等先进技术，通过整合政府扶持政策、公共信用信息、企业金融需求、金融服务产品等各类资源，建立“一张网”覆盖全市中小微企业、“一键式”实现融资供需对接、“一站式”提升综合金融服务、“一次性”查询企业政务信息、“360度”提供贷后风险预警的五维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指标：长期促进淮北市经济发展</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指标：长期促进淮北市经济发展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指标：依据评价办法具体指标知执行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指标：推动金融服务创新，畅通银企对接渠道，着力帮助企业扩大融资规模、降低融资成本，引导金融机构提升涉农金融服务水平，更好发挥金融对乡村振兴战略的支持作用。</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指标：推动金融服务创新，畅通银企对接渠道，着力帮助企业扩大融资规模、降低融资成本，引导金融机构提升涉农金融服务水平，更好发挥金融对乡村振兴战略的支持作用。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指标：提高银行业金融机构支持淮北经济社会发展水平。</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指标：提高银行业金融机构支持淮北经济社会发展水平。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指标：促进中小微企业、信用主体发展。</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指标：促进中小微企业、信用主体发展。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指标：持续提升金融服务实体经济水平。</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指标：持续提升金融服务实体经济水平。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指标：服务对象满意，中小微企业、信用主体。</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atLeast"/>
              <w:jc w:val="left"/>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指标：服务对象满意，中小微企业、信用主体。</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6、“再贷款转型金融引导专项额度贴息”项目。</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发挥人民银行再贷款和财政贴息的叠加效应，适当降低地方法人银行转型金融信贷成本。由人民银行淮北市中心支行设立再贷款转型金融引导专项额度，市财政给予贴息补助，构建货币政策和财政政策联动机制，提高地方法人银行发展转型金融的积极性。</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（2）立项依据：省委书记韩俊在《基层建议:加快发展转型金融助力皖北全面振兴》上的批示以及市委书记覃卫国的相关批示。</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（3）实施主体：市地方金融监管局。</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（4）起止时间：2024年1-12月。</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（5）项目内容：设立再贷款转型金融引导专项额度，通过财政贴息，支持地方法人银行扩大转型金融信贷供给，加快推动全市绿色低碳高质量发展。</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（6）年度预算安排：25.00万元。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280"/>
        <w:gridCol w:w="1290"/>
        <w:gridCol w:w="2699"/>
        <w:gridCol w:w="9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6"/>
            <w:tcBorders>
              <w:top w:val="nil"/>
              <w:left w:val="nil"/>
              <w:right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302" w:type="dxa"/>
            <w:gridSpan w:val="4"/>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再贷款转型金融引导专项额度贴息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1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主管部门   </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及代码</w:t>
            </w:r>
          </w:p>
        </w:tc>
        <w:tc>
          <w:tcPr>
            <w:tcW w:w="3989"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淮北市地方金融监管局290001</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淮北市地方金融监管局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989"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本级申报</w:t>
            </w:r>
          </w:p>
        </w:tc>
        <w:tc>
          <w:tcPr>
            <w:tcW w:w="93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98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398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398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8"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398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3313" w:type="dxa"/>
            <w:gridSpan w:val="2"/>
            <w:tcBorders>
              <w:tl2br w:val="nil"/>
              <w:tr2bl w:val="nil"/>
            </w:tcBorders>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38"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5"/>
            <w:tcBorders>
              <w:tl2br w:val="nil"/>
              <w:tr2bl w:val="nil"/>
            </w:tcBorders>
            <w:vAlign w:val="center"/>
          </w:tcPr>
          <w:p>
            <w:pPr>
              <w:keepNext w:val="0"/>
              <w:keepLines w:val="0"/>
              <w:pageBreakBefore w:val="0"/>
              <w:kinsoku/>
              <w:wordWrap/>
              <w:overflowPunct/>
              <w:topLinePunct w:val="0"/>
              <w:autoSpaceDE/>
              <w:autoSpaceDN/>
              <w:bidi w:val="0"/>
              <w:spacing w:line="580" w:lineRule="atLeast"/>
              <w:jc w:val="left"/>
              <w:rPr>
                <w:rFonts w:hint="default" w:ascii="Times New Roman" w:hAnsi="Times New Roman" w:cs="Times New Roman"/>
                <w:sz w:val="20"/>
              </w:rPr>
            </w:pPr>
            <w:r>
              <w:rPr>
                <w:rFonts w:hint="default" w:ascii="Times New Roman" w:hAnsi="Times New Roman" w:cs="Times New Roman"/>
                <w:sz w:val="20"/>
                <w:lang w:eastAsia="zh-CN"/>
              </w:rPr>
              <w:t>设立再贷款转型金融引导专项额度，通过财政贴息，支持地方法人银行扩大转型金融信贷供给，加快推动全市绿色低碳高质量发展。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38"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12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依据人民银行淮北分行相关具体指标执行</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依据人民银行淮北分行相关具体指标执行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依据人民银行淮北分行相关具体指标执行</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依据人民银行淮北分行相关具体指标执行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依据人民银行淮北分行相关具体指标执行</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依据人民银行淮北分行相关具体指标执行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依据人民银行淮北分行相关具体指标执行</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依据人民银行淮北分行相关具体指标执行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由人民银行淮北市中心支行设立再贷款转型金融引导专项额度，通过财政贴息补助，构建货币政策和财政政策联动机制，提高地方法人银行发展转型金融的积极性。</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由人民银行淮北市中心支行设立再贷款转型金融引导专项额度，通过财政贴息补助，构建货币政策和财政政策联动机制，提高地方法人银行发展转型金融的积极性。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支持地方法人银行扩大转型金融信贷供给，加快推动全市绿色低碳高质量发展</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支持地方法人银行扩大转型金融信贷供给，加快推动全市绿色低碳高质量发展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推动绿色金融发展，服务城市转型发展</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推动绿色金融发展，服务城市转型发展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推动绿色转型发展</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推动绿色转型发展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atLeast"/>
              <w:jc w:val="center"/>
              <w:rPr>
                <w:rFonts w:hint="default" w:ascii="Times New Roman" w:hAnsi="Times New Roman" w:cs="Times New Roman"/>
                <w:sz w:val="20"/>
              </w:rPr>
            </w:pPr>
          </w:p>
        </w:tc>
        <w:tc>
          <w:tcPr>
            <w:tcW w:w="128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1290"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699" w:type="dxa"/>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sz w:val="20"/>
              </w:rPr>
            </w:pPr>
            <w:r>
              <w:rPr>
                <w:rFonts w:hint="eastAsia" w:ascii="Times New Roman" w:hAnsi="Times New Roman" w:eastAsia="宋体" w:cs="Times New Roman"/>
                <w:sz w:val="20"/>
                <w:lang w:val="en-US" w:eastAsia="zh-CN"/>
              </w:rPr>
              <w:t>金融机构满意度</w:t>
            </w:r>
          </w:p>
        </w:tc>
        <w:tc>
          <w:tcPr>
            <w:tcW w:w="331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580" w:lineRule="atLeast"/>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sz w:val="20"/>
                <w:lang w:val="en-US" w:eastAsia="zh-CN"/>
              </w:rPr>
              <w:t>金融机构满意度</w:t>
            </w:r>
          </w:p>
        </w:tc>
      </w:tr>
    </w:tbl>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2024年机关运行经费财政拨款预算</w:t>
      </w:r>
      <w:r>
        <w:rPr>
          <w:rFonts w:hint="eastAsia" w:ascii="Times New Roman" w:hAnsi="Times New Roman" w:eastAsia="仿宋_GB2312" w:cs="Times New Roman"/>
          <w:kern w:val="0"/>
          <w:sz w:val="32"/>
          <w:szCs w:val="32"/>
          <w:lang w:val="en-US" w:eastAsia="zh-CN"/>
        </w:rPr>
        <w:t>33.25</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2.63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7.33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人员减少</w:t>
      </w:r>
      <w:r>
        <w:rPr>
          <w:rFonts w:hint="default" w:ascii="Times New Roman" w:hAnsi="Times New Roman" w:eastAsia="仿宋_GB2312" w:cs="Times New Roman"/>
          <w:kern w:val="0"/>
          <w:sz w:val="32"/>
          <w:szCs w:val="32"/>
        </w:rPr>
        <w:t>。</w:t>
      </w: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2024年政府采购预算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w:t>
      </w:r>
      <w:r>
        <w:rPr>
          <w:rFonts w:hint="default" w:ascii="Times New Roman" w:hAnsi="Times New Roman" w:eastAsia="仿宋_GB2312" w:cs="Times New Roman"/>
          <w:kern w:val="0"/>
          <w:sz w:val="32"/>
          <w:szCs w:val="32"/>
          <w:lang w:eastAsia="zh-CN"/>
        </w:rPr>
        <w:t>淮北市地方金融监督管理局</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2024年部门预算安排购置公务用车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default" w:ascii="Times New Roman" w:hAnsi="Times New Roman" w:eastAsia="仿宋_GB2312" w:cs="Times New Roman"/>
          <w:kern w:val="0"/>
          <w:sz w:val="32"/>
          <w:szCs w:val="32"/>
          <w:lang w:eastAsia="zh-CN"/>
        </w:rPr>
        <w:t>淮北市地方金融监督管理局</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241.70</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720" w:firstLineChars="200"/>
        <w:jc w:val="center"/>
        <w:textAlignment w:val="auto"/>
        <w:rPr>
          <w:rFonts w:hint="default" w:ascii="Times New Roman" w:hAnsi="Times New Roman" w:eastAsia="黑体" w:cs="Times New Roman"/>
          <w:bCs/>
          <w:sz w:val="36"/>
          <w:szCs w:val="36"/>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420" w:firstLineChars="200"/>
        <w:textAlignment w:val="auto"/>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bCs/>
          <w:kern w:val="0"/>
          <w:sz w:val="32"/>
          <w:szCs w:val="32"/>
          <w:lang w:val="en-US" w:eastAsia="zh-CN" w:bidi="ar-SA"/>
        </w:rPr>
        <w:t>十、机关运行经费：</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w:t>
      </w:r>
      <w:r>
        <w:rPr>
          <w:rFonts w:hint="eastAsia" w:ascii="Times New Roman" w:hAnsi="Times New Roman" w:eastAsia="黑体" w:cs="Times New Roman"/>
          <w:bCs/>
          <w:sz w:val="36"/>
          <w:szCs w:val="36"/>
          <w:lang w:val="en-US" w:eastAsia="zh-CN"/>
        </w:rPr>
        <w:t>五</w:t>
      </w:r>
      <w:r>
        <w:rPr>
          <w:rFonts w:hint="default" w:ascii="Times New Roman" w:hAnsi="Times New Roman" w:eastAsia="黑体" w:cs="Times New Roman"/>
          <w:bCs/>
          <w:sz w:val="36"/>
          <w:szCs w:val="36"/>
        </w:rPr>
        <w:t>部分 其它公开事项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rPr>
          <w:rFonts w:hint="default" w:ascii="Times New Roman" w:hAnsi="Times New Roman" w:eastAsia="仿宋_GB2312" w:cs="Times New Roman"/>
          <w:b/>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淮北市地方金融监督管理局</w:t>
      </w:r>
      <w:r>
        <w:rPr>
          <w:rFonts w:hint="default" w:ascii="Times New Roman" w:hAnsi="Times New Roman" w:eastAsia="黑体" w:cs="Times New Roman"/>
          <w:bCs/>
          <w:sz w:val="32"/>
          <w:szCs w:val="32"/>
        </w:rPr>
        <w:t>2024年部门预算纳入绩效考评项目表</w:t>
      </w:r>
      <w:r>
        <w:rPr>
          <w:rFonts w:hint="eastAsia" w:ascii="Times New Roman" w:hAnsi="Times New Roman" w:eastAsia="仿宋_GB2312" w:cs="Times New Roman"/>
          <w:bCs/>
          <w:sz w:val="32"/>
          <w:szCs w:val="32"/>
          <w:lang w:eastAsia="zh-CN"/>
        </w:rPr>
        <w:t>（见附件</w:t>
      </w: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lang w:eastAsia="zh-CN"/>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淮北市地方金融监督管理局</w:t>
      </w:r>
      <w:r>
        <w:rPr>
          <w:rFonts w:hint="default" w:ascii="Times New Roman" w:hAnsi="Times New Roman" w:eastAsia="黑体" w:cs="Times New Roman"/>
          <w:bCs/>
          <w:sz w:val="32"/>
          <w:szCs w:val="32"/>
        </w:rPr>
        <w:t>2024年部门预算专项资金管理清单</w:t>
      </w:r>
      <w:r>
        <w:rPr>
          <w:rFonts w:hint="default" w:ascii="Times New Roman" w:hAnsi="Times New Roman" w:eastAsia="仿宋_GB2312" w:cs="Times New Roman"/>
          <w:bCs/>
          <w:sz w:val="32"/>
          <w:szCs w:val="32"/>
        </w:rPr>
        <w:t>（专栏公开</w:t>
      </w:r>
      <w:r>
        <w:rPr>
          <w:rFonts w:hint="eastAsia" w:ascii="Times New Roman" w:hAnsi="Times New Roman" w:eastAsia="仿宋_GB2312" w:cs="Times New Roman"/>
          <w:bCs/>
          <w:sz w:val="32"/>
          <w:szCs w:val="32"/>
          <w:lang w:eastAsia="zh-CN"/>
        </w:rPr>
        <w:t>，见附件</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xN2VlYzdlZGE4MDQyYzU4YTZkODY1Nzg5NjI0MDg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6E8645E"/>
    <w:rsid w:val="2A046D5F"/>
    <w:rsid w:val="2F835539"/>
    <w:rsid w:val="448F157A"/>
    <w:rsid w:val="44E64952"/>
    <w:rsid w:val="570909F6"/>
    <w:rsid w:val="6B6705D8"/>
    <w:rsid w:val="7661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983</Words>
  <Characters>5608</Characters>
  <Lines>46</Lines>
  <Paragraphs>13</Paragraphs>
  <TotalTime>2</TotalTime>
  <ScaleCrop>false</ScaleCrop>
  <LinksUpToDate>false</LinksUpToDate>
  <CharactersWithSpaces>6578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cp:lastModifiedBy>
  <dcterms:modified xsi:type="dcterms:W3CDTF">2024-04-16T07:06:07Z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2291D05BFF7E4A0C81F617F45981F7A8_12</vt:lpwstr>
  </property>
</Properties>
</file>