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tLeast"/>
        <w:jc w:val="center"/>
        <w:outlineLvl w:val="0"/>
        <w:rPr>
          <w:rFonts w:ascii="黑体" w:hAnsi="黑体" w:eastAsia="黑体" w:cs="Calibri"/>
          <w:color w:val="333333"/>
          <w:kern w:val="0"/>
          <w:sz w:val="52"/>
          <w:szCs w:val="52"/>
        </w:rPr>
      </w:pPr>
      <w:r>
        <w:rPr>
          <w:rFonts w:ascii="黑体" w:hAnsi="黑体" w:eastAsia="黑体" w:cs="Calibri"/>
          <w:color w:val="333333"/>
          <w:kern w:val="0"/>
          <w:sz w:val="52"/>
          <w:szCs w:val="52"/>
        </w:rPr>
        <w:t>淮</w:t>
      </w:r>
      <w:r>
        <w:rPr>
          <w:rFonts w:hint="eastAsia" w:ascii="黑体" w:hAnsi="黑体" w:eastAsia="黑体" w:cs="Calibri"/>
          <w:color w:val="333333"/>
          <w:kern w:val="0"/>
          <w:sz w:val="52"/>
          <w:szCs w:val="52"/>
        </w:rPr>
        <w:t>北</w:t>
      </w:r>
      <w:r>
        <w:rPr>
          <w:rFonts w:ascii="黑体" w:hAnsi="黑体" w:eastAsia="黑体" w:cs="Calibri"/>
          <w:color w:val="333333"/>
          <w:kern w:val="0"/>
          <w:sz w:val="52"/>
          <w:szCs w:val="52"/>
        </w:rPr>
        <w:t>市财政局</w:t>
      </w:r>
      <w:r>
        <w:rPr>
          <w:rFonts w:hint="eastAsia" w:ascii="黑体" w:hAnsi="黑体" w:eastAsia="黑体" w:cs="Calibri"/>
          <w:color w:val="333333"/>
          <w:kern w:val="0"/>
          <w:sz w:val="52"/>
          <w:szCs w:val="52"/>
        </w:rPr>
        <w:t>（国资</w:t>
      </w:r>
      <w:r>
        <w:rPr>
          <w:rFonts w:hint="eastAsia" w:ascii="黑体" w:hAnsi="黑体" w:eastAsia="黑体" w:cs="Calibri"/>
          <w:color w:val="333333"/>
          <w:kern w:val="0"/>
          <w:sz w:val="52"/>
          <w:szCs w:val="52"/>
          <w:lang w:val="en-US" w:eastAsia="zh-CN"/>
        </w:rPr>
        <w:t>委</w:t>
      </w:r>
      <w:r>
        <w:rPr>
          <w:rFonts w:hint="eastAsia" w:ascii="黑体" w:hAnsi="黑体" w:eastAsia="黑体" w:cs="Calibri"/>
          <w:color w:val="333333"/>
          <w:kern w:val="0"/>
          <w:sz w:val="52"/>
          <w:szCs w:val="52"/>
        </w:rPr>
        <w:t>）</w:t>
      </w:r>
      <w:r>
        <w:rPr>
          <w:rFonts w:ascii="黑体" w:hAnsi="黑体" w:eastAsia="黑体" w:cs="Calibri"/>
          <w:color w:val="333333"/>
          <w:kern w:val="0"/>
          <w:sz w:val="52"/>
          <w:szCs w:val="52"/>
        </w:rPr>
        <w:t>20</w:t>
      </w:r>
      <w:r>
        <w:rPr>
          <w:rFonts w:hint="eastAsia" w:ascii="黑体" w:hAnsi="黑体" w:eastAsia="黑体" w:cs="Calibri"/>
          <w:color w:val="333333"/>
          <w:kern w:val="0"/>
          <w:sz w:val="52"/>
          <w:szCs w:val="52"/>
        </w:rPr>
        <w:t>20</w:t>
      </w:r>
      <w:r>
        <w:rPr>
          <w:rFonts w:ascii="黑体" w:hAnsi="黑体" w:eastAsia="黑体" w:cs="Calibri"/>
          <w:color w:val="333333"/>
          <w:kern w:val="0"/>
          <w:sz w:val="52"/>
          <w:szCs w:val="52"/>
        </w:rPr>
        <w:t>年政府信息公开年度报告</w:t>
      </w:r>
    </w:p>
    <w:p>
      <w:pPr>
        <w:widowControl/>
        <w:spacing w:line="450" w:lineRule="atLeast"/>
        <w:jc w:val="center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</w:rPr>
        <w:t> </w:t>
      </w:r>
      <w:r>
        <w:rPr>
          <w:rFonts w:ascii="宋体" w:hAnsi="宋体" w:eastAsia="宋体" w:cs="宋体"/>
          <w:color w:val="999999"/>
          <w:kern w:val="0"/>
          <w:szCs w:val="21"/>
        </w:rPr>
        <w:t> </w:t>
      </w:r>
    </w:p>
    <w:p>
      <w:pPr>
        <w:widowControl/>
        <w:shd w:val="clear" w:color="auto" w:fill="FFFFFF"/>
        <w:wordWrap w:val="0"/>
        <w:spacing w:line="600" w:lineRule="atLeast"/>
        <w:jc w:val="lef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  我局依据《中华人民共和国政府信息公开条例》（国务院令第711号）等文件要求，结合我局政府信息公开工作报告如下：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" w:hAnsi="仿宋" w:eastAsia="仿宋" w:cs="Calibri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淮北市财政局按照中央、省、市关于做好政府信息公开的部署和要求，创新工作思路，完善方式方法，不断拓宽公开渠道，丰富政务公开内容，全力打造“阳光财政”。</w:t>
      </w:r>
      <w:r>
        <w:rPr>
          <w:rFonts w:ascii="仿宋" w:hAnsi="仿宋" w:eastAsia="仿宋" w:cs="Calibri"/>
          <w:color w:val="333333"/>
          <w:kern w:val="0"/>
          <w:sz w:val="32"/>
          <w:szCs w:val="32"/>
        </w:rPr>
        <w:t>建立了局政务公开工作领导组，分管领导负责，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做到</w:t>
      </w:r>
      <w:r>
        <w:rPr>
          <w:rFonts w:ascii="仿宋" w:hAnsi="仿宋" w:eastAsia="仿宋" w:cs="Calibri"/>
          <w:color w:val="333333"/>
          <w:kern w:val="0"/>
          <w:sz w:val="32"/>
          <w:szCs w:val="32"/>
        </w:rPr>
        <w:t>年初有安排，年中有推进，年末有总结。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仿宋" w:hAnsi="仿宋" w:eastAsia="仿宋" w:cs="Calibri"/>
          <w:color w:val="333333"/>
          <w:kern w:val="0"/>
          <w:sz w:val="32"/>
          <w:szCs w:val="32"/>
        </w:rPr>
      </w:pPr>
      <w:r>
        <w:rPr>
          <w:rFonts w:ascii="仿宋" w:hAnsi="仿宋" w:eastAsia="仿宋" w:cs="Calibri"/>
          <w:color w:val="333333"/>
          <w:kern w:val="0"/>
          <w:sz w:val="32"/>
          <w:szCs w:val="32"/>
        </w:rPr>
        <w:t>规范公开流程、健全配套制度、严格保密审查为全面深化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我局</w:t>
      </w:r>
      <w:r>
        <w:rPr>
          <w:rFonts w:ascii="仿宋" w:hAnsi="仿宋" w:eastAsia="仿宋" w:cs="Calibri"/>
          <w:color w:val="333333"/>
          <w:kern w:val="0"/>
          <w:sz w:val="32"/>
          <w:szCs w:val="32"/>
        </w:rPr>
        <w:t>政务公开的措施保障。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进一步</w:t>
      </w:r>
      <w:r>
        <w:rPr>
          <w:rFonts w:ascii="仿宋" w:hAnsi="仿宋" w:eastAsia="仿宋" w:cs="Calibri"/>
          <w:color w:val="333333"/>
          <w:kern w:val="0"/>
          <w:sz w:val="32"/>
          <w:szCs w:val="32"/>
        </w:rPr>
        <w:t>明确政务公开基本要求是“公开为原则，不公开为例外”，基本原则是“依法公开、全面公开、重点公开、及时公开、注重实效”。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2020年按预算法要求公开市本级预决算、部门预决算及“三公”经费、财政资金等信息，及时主动向社会公布财政政策和财政数据，全面推进财政预决算、财政资金使用、政府采购等重点领域信息公开，</w:t>
      </w:r>
      <w:r>
        <w:rPr>
          <w:rFonts w:ascii="仿宋" w:hAnsi="仿宋" w:eastAsia="仿宋" w:cs="Calibri"/>
          <w:color w:val="333333"/>
          <w:kern w:val="0"/>
          <w:sz w:val="32"/>
          <w:szCs w:val="32"/>
        </w:rPr>
        <w:t>全年召开新闻发布会四次，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举办政府网站在线访谈1次，</w:t>
      </w:r>
      <w:r>
        <w:rPr>
          <w:rFonts w:ascii="仿宋" w:hAnsi="仿宋" w:eastAsia="仿宋" w:cs="Calibri"/>
          <w:color w:val="333333"/>
          <w:kern w:val="0"/>
          <w:sz w:val="32"/>
          <w:szCs w:val="32"/>
        </w:rPr>
        <w:t>局领导班子成员围绕重点财政政策进行深入解读。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积极做好政策解读和回应工作，进一步扩大、细化了财政信息公开的范围和内容，增强了财政信息公开的时效性和影响力。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楷体" w:hAnsi="楷体" w:eastAsia="楷体" w:cs="Calibri"/>
          <w:color w:val="333333"/>
          <w:kern w:val="0"/>
          <w:sz w:val="32"/>
          <w:szCs w:val="32"/>
        </w:rPr>
        <w:t>（一）主动公开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hint="eastAsia" w:ascii="仿宋" w:hAnsi="仿宋" w:eastAsia="仿宋" w:cs="Calibr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进一步做好政务公开工作，及时、全面、主动公开权利运行、重点领域等工作的相关信息。及时发布法律法规、部门文件和上级及本级政策解读信息，进一步扩大政务公开的覆盖面和影响力。2020年，全年共主动公开各类信息73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条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val="en-US" w:eastAsia="zh-CN"/>
        </w:rPr>
        <w:t>并进行了规范性文件梳理工作，共梳理规范性文件63</w:t>
      </w:r>
      <w:bookmarkStart w:id="0" w:name="_GoBack"/>
      <w:bookmarkEnd w:id="0"/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val="en-US" w:eastAsia="zh-CN"/>
        </w:rPr>
        <w:t>件，其中清理失效文件0件，现行有效的规范性文件为63件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。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val="en-US" w:eastAsia="zh-CN"/>
        </w:rPr>
        <w:t>2020年，我局继续深化“放管服”改革，创优“四最”营商环境工作，推深做实“四送一服”和创优“四最”营商环境工作，取得了一定成果，下一步将力争把“四送一服”活动和创优“四最”营商环境工作打造成高新区服务实体经济的知名品牌。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楷体" w:hAnsi="楷体" w:eastAsia="楷体" w:cs="Calibri"/>
          <w:color w:val="333333"/>
          <w:kern w:val="0"/>
          <w:sz w:val="32"/>
          <w:szCs w:val="32"/>
        </w:rPr>
        <w:t>（二）依申请公开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2020年，市财政局共接到依申请公开办件6件。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从申请方式来看，当面申请0件，网络申请4件，信函申请2件。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hint="eastAsia" w:ascii="仿宋" w:hAnsi="仿宋" w:eastAsia="仿宋" w:cs="Calibri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从答复的形式来看，答复“同意公开”为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件，占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val="en-US" w:eastAsia="zh-CN"/>
        </w:rPr>
        <w:t>83.3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%；答复“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val="en-US" w:eastAsia="zh-CN"/>
        </w:rPr>
        <w:t>无法提供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”为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件，占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val="en-US" w:eastAsia="zh-CN"/>
        </w:rPr>
        <w:t>16.7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%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楷体" w:hAnsi="楷体" w:eastAsia="楷体" w:cs="Calibri"/>
          <w:color w:val="333333"/>
          <w:kern w:val="0"/>
          <w:sz w:val="32"/>
          <w:szCs w:val="32"/>
        </w:rPr>
        <w:t>（三）政府信息公开的收费及减免情况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2020年市财政局认真按照《政府信息公开条例》规定公开政府信息，未收取涉及政府信息公开申请的任何费用。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楷体" w:hAnsi="楷体" w:eastAsia="楷体" w:cs="Calibri"/>
          <w:color w:val="333333"/>
          <w:kern w:val="0"/>
          <w:sz w:val="32"/>
          <w:szCs w:val="32"/>
        </w:rPr>
        <w:t>（四）政府信息管理情况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一是成立局政务公开领导小组，由主要领导任组长，各分管领导任副组长，各科室负责人担任成员，政务公开办设在办公室，确保政务公开工作稳步推进。二是按照要求进一步明确和规范我局政府信息的公开原则、公开主体、公开内容、公开方式等。三是及时召开政府信息政务公开推进会议及网站信息发布培训会，要求机关各科室高度重视并切实做好政府信息公开工作。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楷体" w:hAnsi="楷体" w:eastAsia="楷体" w:cs="Calibri"/>
          <w:color w:val="333333"/>
          <w:kern w:val="0"/>
          <w:sz w:val="32"/>
          <w:szCs w:val="32"/>
        </w:rPr>
        <w:t>（五）</w:t>
      </w:r>
      <w:r>
        <w:rPr>
          <w:rFonts w:hint="eastAsia" w:ascii="楷体" w:hAnsi="楷体" w:eastAsia="楷体" w:cs="Calibri"/>
          <w:color w:val="333333"/>
          <w:kern w:val="0"/>
          <w:sz w:val="32"/>
          <w:szCs w:val="32"/>
          <w:lang w:val="en-US" w:eastAsia="zh-CN"/>
        </w:rPr>
        <w:t>信息公开平台</w:t>
      </w:r>
      <w:r>
        <w:rPr>
          <w:rFonts w:hint="eastAsia" w:ascii="楷体" w:hAnsi="楷体" w:eastAsia="楷体" w:cs="Calibri"/>
          <w:color w:val="333333"/>
          <w:kern w:val="0"/>
          <w:sz w:val="32"/>
          <w:szCs w:val="32"/>
        </w:rPr>
        <w:t>建设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局政务公开平台由市政务公开办公室统一设置并维护，市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局对照公开目录并按照相关规定及时间节点进行信息审核发布工作。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楷体" w:hAnsi="楷体" w:eastAsia="楷体" w:cs="Calibri"/>
          <w:color w:val="333333"/>
          <w:kern w:val="0"/>
          <w:sz w:val="32"/>
          <w:szCs w:val="32"/>
        </w:rPr>
        <w:t>（六）监督保障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1、政务公开工作考核情况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将政府信息公开考核纳入年度目标责任制的一项重要内容进行检查、考核，并将考核结果作为干部任免和奖惩的重要依据，由办公室负责对局各科室的信息公开工作进行监督检查、考核。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2、社会评议情况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进一步完善社会评议制度和责任追究制度，由办公室对群众的评议进行统计和分析，及时将群众评议的意见和建议向相关职能科室反馈，欢迎群众对政府信息公开工作进行评议监督，强化责任追究，保障人民群众的监督权。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3、责任追究结果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hint="eastAsia" w:ascii="仿宋" w:hAnsi="仿宋" w:eastAsia="仿宋" w:cs="Calibri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2020年，各科室积极配合开展政务公开工作，未发生因不履行政务公开义务而发生的责任追究情况。进一步做好政策解读，及时、全面、主动公开权利运行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100万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850"/>
        <w:gridCol w:w="761"/>
        <w:gridCol w:w="715"/>
        <w:gridCol w:w="715"/>
        <w:gridCol w:w="762"/>
        <w:gridCol w:w="890"/>
        <w:gridCol w:w="680"/>
        <w:gridCol w:w="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7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6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line="480" w:lineRule="auto"/>
        <w:ind w:firstLine="640"/>
        <w:rPr>
          <w:rFonts w:hint="eastAsia" w:ascii="仿宋" w:hAnsi="仿宋" w:eastAsia="仿宋" w:cs="Calibri"/>
          <w:color w:val="333333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</w:rPr>
        <w:t>五、政府信息公开工作存在的主要问题及改进情况</w:t>
      </w:r>
    </w:p>
    <w:p>
      <w:pPr>
        <w:widowControl/>
        <w:shd w:val="clear" w:color="auto" w:fill="FFFFFF"/>
        <w:wordWrap w:val="0"/>
        <w:spacing w:line="480" w:lineRule="auto"/>
        <w:ind w:firstLine="56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2020年，淮北市财政局在政府信息公开工作方面取得了一定的成绩，但还存在许多不足，如：缺乏专业技术人才，解读形式丰富度不够。</w:t>
      </w:r>
    </w:p>
    <w:p>
      <w:pPr>
        <w:widowControl/>
        <w:shd w:val="clear" w:color="auto" w:fill="FFFFFF"/>
        <w:wordWrap w:val="0"/>
        <w:spacing w:line="480" w:lineRule="auto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2021年，我局将严格按照市政府政务公开办的部署，全力提升政务公开工作水平。</w:t>
      </w:r>
      <w:r>
        <w:rPr>
          <w:rFonts w:hint="eastAsia" w:ascii="楷体" w:hAnsi="楷体" w:eastAsia="楷体" w:cs="Calibri"/>
          <w:color w:val="333333"/>
          <w:kern w:val="0"/>
          <w:sz w:val="32"/>
          <w:szCs w:val="32"/>
        </w:rPr>
        <w:t>提高认识，加强学习。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高度重视政府信息公开工作，加强对条例学习培训活动，着力提高财政系统干部职工对政府信息公开工作的思想认识，自觉增强政务公开的意识，提高政务公开的能力。</w:t>
      </w:r>
      <w:r>
        <w:rPr>
          <w:rFonts w:hint="eastAsia" w:ascii="楷体" w:hAnsi="楷体" w:eastAsia="楷体" w:cs="Calibri"/>
          <w:color w:val="333333"/>
          <w:kern w:val="0"/>
          <w:sz w:val="32"/>
          <w:szCs w:val="32"/>
        </w:rPr>
        <w:t>勤于思考，创新方法。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围绕让群众看得懂、看得明、看得亲，我局坚持用群众耳熟能详的语言、喜闻乐见的形式、生动鲜活的事例来传递政府信息，得到了群众的认可。</w:t>
      </w:r>
      <w:r>
        <w:rPr>
          <w:rFonts w:hint="eastAsia" w:ascii="楷体" w:hAnsi="楷体" w:eastAsia="楷体" w:cs="Calibri"/>
          <w:color w:val="333333"/>
          <w:kern w:val="0"/>
          <w:sz w:val="32"/>
          <w:szCs w:val="32"/>
        </w:rPr>
        <w:t>重点突出，增强规范。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加快梳理主动公开、非主动公开清单目录，建立健全政府信息管理动态调整机制等，确保应公开尽公开、应上网尽上网，依申请公开办理规范便民、不予公开有理有据。</w:t>
      </w:r>
    </w:p>
    <w:p>
      <w:pPr>
        <w:widowControl/>
        <w:shd w:val="clear" w:color="auto" w:fill="FFFFFF"/>
        <w:wordWrap w:val="0"/>
        <w:spacing w:line="480" w:lineRule="auto"/>
        <w:ind w:firstLine="64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wordWrap w:val="0"/>
        <w:spacing w:line="480" w:lineRule="auto"/>
        <w:ind w:firstLine="645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ZGEyYmU4NTYzMDgxNDBkZDBmYjNjZGUyMTE2NWQifQ=="/>
  </w:docVars>
  <w:rsids>
    <w:rsidRoot w:val="00103799"/>
    <w:rsid w:val="0007568B"/>
    <w:rsid w:val="00103799"/>
    <w:rsid w:val="0016483D"/>
    <w:rsid w:val="002A497F"/>
    <w:rsid w:val="003C51AD"/>
    <w:rsid w:val="005301A0"/>
    <w:rsid w:val="006B582D"/>
    <w:rsid w:val="00841B52"/>
    <w:rsid w:val="00980C6A"/>
    <w:rsid w:val="00D86B87"/>
    <w:rsid w:val="00D96D04"/>
    <w:rsid w:val="00ED4105"/>
    <w:rsid w:val="036A686A"/>
    <w:rsid w:val="18C748B7"/>
    <w:rsid w:val="214D1798"/>
    <w:rsid w:val="2940193D"/>
    <w:rsid w:val="297A6F45"/>
    <w:rsid w:val="318F4F9E"/>
    <w:rsid w:val="3A4F76E7"/>
    <w:rsid w:val="424C38BA"/>
    <w:rsid w:val="42C23D01"/>
    <w:rsid w:val="475E208E"/>
    <w:rsid w:val="476B32D0"/>
    <w:rsid w:val="49171001"/>
    <w:rsid w:val="5172774E"/>
    <w:rsid w:val="55E300B1"/>
    <w:rsid w:val="5F435DF7"/>
    <w:rsid w:val="6B534F3C"/>
    <w:rsid w:val="70446A6F"/>
    <w:rsid w:val="776158EB"/>
    <w:rsid w:val="78733A12"/>
    <w:rsid w:val="78E5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j-info-hit"/>
    <w:basedOn w:val="5"/>
    <w:autoRedefine/>
    <w:qFormat/>
    <w:uiPriority w:val="0"/>
  </w:style>
  <w:style w:type="character" w:customStyle="1" w:styleId="9">
    <w:name w:val="fontsize"/>
    <w:basedOn w:val="5"/>
    <w:autoRedefine/>
    <w:qFormat/>
    <w:uiPriority w:val="0"/>
  </w:style>
  <w:style w:type="character" w:customStyle="1" w:styleId="10">
    <w:name w:val="wz_bg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2688</Words>
  <Characters>2754</Characters>
  <Lines>12</Lines>
  <Paragraphs>3</Paragraphs>
  <TotalTime>4</TotalTime>
  <ScaleCrop>false</ScaleCrop>
  <LinksUpToDate>false</LinksUpToDate>
  <CharactersWithSpaces>2895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2021-01-13T07:30:00Z</dcterms:created>
  <dc:creator>王建良</dc:creator>
  <cp:lastModifiedBy>遇健不散</cp:lastModifiedBy>
  <dcterms:modified xsi:type="dcterms:W3CDTF">2024-04-18T07:18:45Z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58C09E9D5ABF44D19853114ABA68D77B_13</vt:lpwstr>
  </property>
</Properties>
</file>