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60" w:type="dxa"/>
        <w:tblInd w:w="93" w:type="dxa"/>
        <w:tblLayout w:type="fixed"/>
        <w:tblCellMar>
          <w:top w:w="0" w:type="dxa"/>
          <w:left w:w="108" w:type="dxa"/>
          <w:bottom w:w="0" w:type="dxa"/>
          <w:right w:w="108" w:type="dxa"/>
        </w:tblCellMar>
      </w:tblPr>
      <w:tblGrid>
        <w:gridCol w:w="893"/>
        <w:gridCol w:w="2481"/>
        <w:gridCol w:w="2386"/>
        <w:gridCol w:w="2195"/>
        <w:gridCol w:w="5059"/>
        <w:gridCol w:w="1446"/>
      </w:tblGrid>
      <w:tr>
        <w:tblPrEx>
          <w:tblCellMar>
            <w:top w:w="0" w:type="dxa"/>
            <w:left w:w="108" w:type="dxa"/>
            <w:bottom w:w="0" w:type="dxa"/>
            <w:right w:w="108" w:type="dxa"/>
          </w:tblCellMar>
        </w:tblPrEx>
        <w:trPr>
          <w:trHeight w:val="672" w:hRule="atLeast"/>
        </w:trPr>
        <w:tc>
          <w:tcPr>
            <w:tcW w:w="893"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附表一</w:t>
            </w:r>
          </w:p>
        </w:tc>
        <w:tc>
          <w:tcPr>
            <w:tcW w:w="2481" w:type="dxa"/>
            <w:tcBorders>
              <w:top w:val="nil"/>
              <w:left w:val="nil"/>
              <w:bottom w:val="nil"/>
              <w:right w:val="nil"/>
            </w:tcBorders>
            <w:noWrap/>
            <w:vAlign w:val="center"/>
          </w:tcPr>
          <w:p>
            <w:pPr>
              <w:rPr>
                <w:rFonts w:ascii="宋体" w:hAnsi="宋体" w:cs="宋体"/>
                <w:color w:val="000000"/>
                <w:sz w:val="22"/>
              </w:rPr>
            </w:pPr>
          </w:p>
        </w:tc>
        <w:tc>
          <w:tcPr>
            <w:tcW w:w="2386" w:type="dxa"/>
            <w:tcBorders>
              <w:top w:val="nil"/>
              <w:left w:val="nil"/>
              <w:bottom w:val="nil"/>
              <w:right w:val="nil"/>
            </w:tcBorders>
            <w:noWrap/>
            <w:vAlign w:val="center"/>
          </w:tcPr>
          <w:p>
            <w:pPr>
              <w:rPr>
                <w:rFonts w:ascii="宋体" w:hAnsi="宋体" w:cs="宋体"/>
                <w:color w:val="000000"/>
                <w:sz w:val="22"/>
              </w:rPr>
            </w:pPr>
          </w:p>
        </w:tc>
        <w:tc>
          <w:tcPr>
            <w:tcW w:w="2195" w:type="dxa"/>
            <w:tcBorders>
              <w:top w:val="nil"/>
              <w:left w:val="nil"/>
              <w:bottom w:val="nil"/>
              <w:right w:val="nil"/>
            </w:tcBorders>
            <w:noWrap/>
            <w:vAlign w:val="center"/>
          </w:tcPr>
          <w:p>
            <w:pPr>
              <w:rPr>
                <w:rFonts w:ascii="宋体" w:hAnsi="宋体" w:cs="宋体"/>
                <w:color w:val="000000"/>
                <w:sz w:val="22"/>
              </w:rPr>
            </w:pPr>
          </w:p>
        </w:tc>
        <w:tc>
          <w:tcPr>
            <w:tcW w:w="5059" w:type="dxa"/>
            <w:tcBorders>
              <w:top w:val="nil"/>
              <w:left w:val="nil"/>
              <w:bottom w:val="nil"/>
              <w:right w:val="nil"/>
            </w:tcBorders>
            <w:noWrap/>
            <w:vAlign w:val="center"/>
          </w:tcPr>
          <w:p>
            <w:pPr>
              <w:rPr>
                <w:rFonts w:ascii="宋体" w:hAnsi="宋体" w:cs="宋体"/>
                <w:color w:val="000000"/>
                <w:sz w:val="22"/>
              </w:rPr>
            </w:pPr>
          </w:p>
        </w:tc>
        <w:tc>
          <w:tcPr>
            <w:tcW w:w="1446" w:type="dxa"/>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900" w:hRule="atLeast"/>
        </w:trPr>
        <w:tc>
          <w:tcPr>
            <w:tcW w:w="14460" w:type="dxa"/>
            <w:gridSpan w:val="6"/>
            <w:tcBorders>
              <w:top w:val="nil"/>
              <w:left w:val="nil"/>
              <w:bottom w:val="single" w:color="000000" w:sz="4" w:space="0"/>
              <w:right w:val="nil"/>
            </w:tcBorders>
            <w:noWrap/>
            <w:vAlign w:val="center"/>
          </w:tcPr>
          <w:p>
            <w:pPr>
              <w:widowControl/>
              <w:jc w:val="center"/>
              <w:textAlignment w:val="center"/>
              <w:rPr>
                <w:rFonts w:ascii="宋体" w:hAnsi="宋体" w:cs="宋体"/>
                <w:color w:val="000000"/>
                <w:sz w:val="52"/>
                <w:szCs w:val="52"/>
              </w:rPr>
            </w:pPr>
            <w:r>
              <w:rPr>
                <w:rFonts w:hint="eastAsia" w:ascii="宋体" w:hAnsi="宋体" w:cs="宋体"/>
                <w:color w:val="000000"/>
                <w:kern w:val="0"/>
                <w:sz w:val="52"/>
                <w:szCs w:val="52"/>
              </w:rPr>
              <w:t>2020年度重点项目支出绩效评价情况表</w:t>
            </w:r>
          </w:p>
        </w:tc>
      </w:tr>
      <w:tr>
        <w:tblPrEx>
          <w:tblCellMar>
            <w:top w:w="0" w:type="dxa"/>
            <w:left w:w="108" w:type="dxa"/>
            <w:bottom w:w="0" w:type="dxa"/>
            <w:right w:w="108" w:type="dxa"/>
          </w:tblCellMar>
        </w:tblPrEx>
        <w:trPr>
          <w:trHeight w:val="1272"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项目名称</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实施单位/牵头单位</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财政资金（单位：万元）</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评价情况</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评价等级</w:t>
            </w:r>
          </w:p>
        </w:tc>
      </w:tr>
      <w:tr>
        <w:tblPrEx>
          <w:tblCellMar>
            <w:top w:w="0" w:type="dxa"/>
            <w:left w:w="108" w:type="dxa"/>
            <w:bottom w:w="0" w:type="dxa"/>
            <w:right w:w="108" w:type="dxa"/>
          </w:tblCellMar>
        </w:tblPrEx>
        <w:trPr>
          <w:trHeight w:val="2664"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文明创建项目经费</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市文明办</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212</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项目实施对照《全国文明城市测评体系》对创建任务进行了分解，明确了责任单位和责任人，并层层召开动员大会对创建工作进行安排部署，确保项目顺利完成，取得了较好的效果。从产生的效益来看，全面提高了市民素质和城市文明程度，市容环境整治效果明显，硬件设施建设不断完善，群众满意度较高。</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优</w:t>
            </w:r>
          </w:p>
        </w:tc>
      </w:tr>
      <w:tr>
        <w:tblPrEx>
          <w:tblCellMar>
            <w:top w:w="0" w:type="dxa"/>
            <w:left w:w="108" w:type="dxa"/>
            <w:bottom w:w="0" w:type="dxa"/>
            <w:right w:w="108" w:type="dxa"/>
          </w:tblCellMar>
        </w:tblPrEx>
        <w:trPr>
          <w:trHeight w:val="1740"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购置新能源公交车项目</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市汽车运输有限责任公司</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415.2</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满足了相山西部城区与萧县西南部城乡老百姓出行需求，促进两地城乡交流。但项目所设定的绩效目标中经济指标偏低，不符合客观实际情况，项目效益中的经济效益不高。</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w:t>
            </w:r>
          </w:p>
        </w:tc>
      </w:tr>
      <w:tr>
        <w:tblPrEx>
          <w:tblCellMar>
            <w:top w:w="0" w:type="dxa"/>
            <w:left w:w="108" w:type="dxa"/>
            <w:bottom w:w="0" w:type="dxa"/>
            <w:right w:w="108" w:type="dxa"/>
          </w:tblCellMar>
        </w:tblPrEx>
        <w:trPr>
          <w:trHeight w:val="2652"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淮北市大气网格化监测监管系统运维费项目</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市生态环境局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437.2</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通过微型站的趋势分析及报警功能，实现细小网格内污染事件的实时报警、全程追踪，建立一套网格化管理的体系。实现随时随地可以查看实时的污染浓度数据，实时监测整体区域环境空气质量状况，随时发现问题、随时解决问题。积极带动淮北市环境保护能力升级，创新环境管理措施与手段，促进环境管理业务不断联合。</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优</w:t>
            </w:r>
          </w:p>
        </w:tc>
      </w:tr>
      <w:tr>
        <w:tblPrEx>
          <w:tblCellMar>
            <w:top w:w="0" w:type="dxa"/>
            <w:left w:w="108" w:type="dxa"/>
            <w:bottom w:w="0" w:type="dxa"/>
            <w:right w:w="108" w:type="dxa"/>
          </w:tblCellMar>
        </w:tblPrEx>
        <w:trPr>
          <w:trHeight w:val="2580"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节能监察专项经费</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市经济和信息化局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96.17</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淮北市节能监察中心2020年度已完成对10家企业实施国家重大工业节能专项进行执法监察;对25家工业重点用能企业实施日常节能执法监察;对7家工业重点用能企业实施“双随机一公开”节能执法检查。优化监察企业节能减排，减少环境污染。</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优</w:t>
            </w:r>
          </w:p>
        </w:tc>
      </w:tr>
      <w:tr>
        <w:tblPrEx>
          <w:tblCellMar>
            <w:top w:w="0" w:type="dxa"/>
            <w:left w:w="108" w:type="dxa"/>
            <w:bottom w:w="0" w:type="dxa"/>
            <w:right w:w="108" w:type="dxa"/>
          </w:tblCellMar>
        </w:tblPrEx>
        <w:trPr>
          <w:trHeight w:val="2160"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城乡居民医疗保险基金之大病保险</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市医保局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3847</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2020年参保人数达到641642人，共支付保费3846.66万元，理赔18107人次，受测算误差与实际工作开展情况影响，项目预算资金与实际支出资金相差较大、项目决算时间较晚。需进一步提高预算编制准确率，缩小预算和决算的口径差异。</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优</w:t>
            </w:r>
          </w:p>
        </w:tc>
      </w:tr>
      <w:tr>
        <w:tblPrEx>
          <w:tblCellMar>
            <w:top w:w="0" w:type="dxa"/>
            <w:left w:w="108" w:type="dxa"/>
            <w:bottom w:w="0" w:type="dxa"/>
            <w:right w:w="108" w:type="dxa"/>
          </w:tblCellMar>
        </w:tblPrEx>
        <w:trPr>
          <w:trHeight w:val="214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市政设施维护费</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市住建局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1050</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2020年度市市政工程管理处通过履职，维修人行道23700平方米，维修路面32232平方米，排水清淤12106米，桥梁检测及维修34座，变压器改造9台，维修路灯亮化18056盏，设施维护率达到99%。确保市政设施完好，营造安全、舒适出行环境。</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优</w:t>
            </w:r>
          </w:p>
        </w:tc>
      </w:tr>
      <w:tr>
        <w:tblPrEx>
          <w:tblCellMar>
            <w:top w:w="0" w:type="dxa"/>
            <w:left w:w="108" w:type="dxa"/>
            <w:bottom w:w="0" w:type="dxa"/>
            <w:right w:w="108" w:type="dxa"/>
          </w:tblCellMar>
        </w:tblPrEx>
        <w:trPr>
          <w:trHeight w:val="2940"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智慧教育专项经费</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市教育局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53.37</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项目立项依据充分、程序规范，绩效总体目标设置合理，项目资金管理规范，管理制度健全、有效，产出基本达到预期目标，社会公众对项目的满意度较高。但也存在未将绩效目标细化分解成具体可衡量的绩效指标、智慧课堂项目效益仍需提高等问题。本项目的实施，很大程度上能够提高淮北教育的智慧化程度，有助于推进普通中小学智慧学校建设。</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w:t>
            </w:r>
          </w:p>
        </w:tc>
      </w:tr>
      <w:tr>
        <w:tblPrEx>
          <w:tblCellMar>
            <w:top w:w="0" w:type="dxa"/>
            <w:left w:w="108" w:type="dxa"/>
            <w:bottom w:w="0" w:type="dxa"/>
            <w:right w:w="108" w:type="dxa"/>
          </w:tblCellMar>
        </w:tblPrEx>
        <w:trPr>
          <w:trHeight w:val="2352"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最严格水资源管理制度考核项目经费</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市水务局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162</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2020年重点开展《淮北市水资源公报》编制、水质监测评价、重要水体水质断面监测、在线监控建设、开展节水载体创建等。提高行业用水效率和效益，为全市经济社会可持续发展提供可靠的水资源支撑和保障，全面完成省政府下达最严格水资源管理考核目标任务。</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优</w:t>
            </w:r>
          </w:p>
        </w:tc>
      </w:tr>
      <w:tr>
        <w:tblPrEx>
          <w:tblCellMar>
            <w:top w:w="0" w:type="dxa"/>
            <w:left w:w="108" w:type="dxa"/>
            <w:bottom w:w="0" w:type="dxa"/>
            <w:right w:w="108" w:type="dxa"/>
          </w:tblCellMar>
        </w:tblPrEx>
        <w:trPr>
          <w:trHeight w:val="3639"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环卫处厨余垃圾处理专项补贴</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市城管局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533.86</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本项目的实施，能够改善淮北市的环境卫生状况，同时带来了良好的社会效益和经济效益，有利于创造一个更加清洁、卫生的城市，有利于人民的身体健康。立项审批手续齐全，绩效总体目标合理明确，预算编制依据充分，预算明细程度较高，项目产出基本达到预期目标，社会公众对项目的满意度较高。</w:t>
            </w:r>
            <w:r>
              <w:rPr>
                <w:rFonts w:hint="eastAsia" w:ascii="宋体" w:hAnsi="宋体" w:cs="宋体"/>
                <w:color w:val="000000" w:themeColor="text1"/>
                <w:kern w:val="0"/>
                <w:sz w:val="22"/>
                <w14:textFill>
                  <w14:solidFill>
                    <w14:schemeClr w14:val="tx1"/>
                  </w14:solidFill>
                </w14:textFill>
              </w:rPr>
              <w:t>但也存在项目产出数量不足，成本超支问题。</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优</w:t>
            </w:r>
          </w:p>
        </w:tc>
      </w:tr>
      <w:tr>
        <w:tblPrEx>
          <w:tblCellMar>
            <w:top w:w="0" w:type="dxa"/>
            <w:left w:w="108" w:type="dxa"/>
            <w:bottom w:w="0" w:type="dxa"/>
            <w:right w:w="108" w:type="dxa"/>
          </w:tblCellMar>
        </w:tblPrEx>
        <w:trPr>
          <w:trHeight w:val="2352"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交通设施维护</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市公安局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584</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本项目的实施，能够满足市民出行安全的需要、提供稳定的城市交通秩序。项目立项审批手续齐全，绩效总体目标明确，阶段性目标清晰、细化，产出基本达到预期目标，社会公众对项目的满意度较高,但也存在项目预算编制不科学、不合理等问题。</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w:t>
            </w:r>
          </w:p>
        </w:tc>
      </w:tr>
      <w:tr>
        <w:tblPrEx>
          <w:tblCellMar>
            <w:top w:w="0" w:type="dxa"/>
            <w:left w:w="108" w:type="dxa"/>
            <w:bottom w:w="0" w:type="dxa"/>
            <w:right w:w="108" w:type="dxa"/>
          </w:tblCellMar>
        </w:tblPrEx>
        <w:trPr>
          <w:trHeight w:val="250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公交线路亏损补贴</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市交通局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1500</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本项目的实施在一定程序上能够解决城市公交企业因公交运营亏损带来的经营压力和现金短缺等问题，基本上维持城市公交正常运行。项目绩效总体目标基本合理，项目资金及时拨付到位，但也存在诸如项目立项依据不充分、预算编制依据不充分等问题。</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中</w:t>
            </w:r>
          </w:p>
        </w:tc>
      </w:tr>
      <w:tr>
        <w:tblPrEx>
          <w:tblCellMar>
            <w:top w:w="0" w:type="dxa"/>
            <w:left w:w="108" w:type="dxa"/>
            <w:bottom w:w="0" w:type="dxa"/>
            <w:right w:w="108" w:type="dxa"/>
          </w:tblCellMar>
        </w:tblPrEx>
        <w:trPr>
          <w:trHeight w:val="316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24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老濉河水生态环境综合整治工程PPP项目</w:t>
            </w:r>
          </w:p>
        </w:tc>
        <w:tc>
          <w:tcPr>
            <w:tcW w:w="2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市水务局</w:t>
            </w:r>
          </w:p>
        </w:tc>
        <w:tc>
          <w:tcPr>
            <w:tcW w:w="21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2899.4</w:t>
            </w:r>
          </w:p>
        </w:tc>
        <w:tc>
          <w:tcPr>
            <w:tcW w:w="50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项目的顺利实施，能够明显改善项目区及周边的生态环境、居住环境、生活环境和工作环境，直接带动老濉河两岸土地的价值提升，满足地区防洪排涝要求，减轻洪涝灾害损失，有利于促进人民安居乐业，促进</w:t>
            </w:r>
            <w:r>
              <w:rPr>
                <w:rFonts w:hint="eastAsia" w:ascii="宋体" w:hAnsi="宋体" w:cs="宋体"/>
                <w:color w:val="000000" w:themeColor="text1"/>
                <w:kern w:val="0"/>
                <w:sz w:val="22"/>
                <w14:textFill>
                  <w14:solidFill>
                    <w14:schemeClr w14:val="tx1"/>
                  </w14:solidFill>
                </w14:textFill>
              </w:rPr>
              <w:t>地区社会和谐稳定。但也存在阶段性目标不够准确、可用性服务费的确定依据不充分、运营服务单位的运营能力不足等情况。</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良</w:t>
            </w:r>
          </w:p>
        </w:tc>
      </w:tr>
    </w:tbl>
    <w:p>
      <w:pPr>
        <w:widowControl/>
        <w:spacing w:line="400" w:lineRule="atLeast"/>
        <w:ind w:firstLine="437" w:firstLineChars="199"/>
        <w:jc w:val="left"/>
        <w:rPr>
          <w:rFonts w:ascii="宋体" w:hAnsi="宋体" w:cs="宋体"/>
          <w:sz w:val="22"/>
        </w:rPr>
      </w:pPr>
    </w:p>
    <w:p>
      <w:pPr>
        <w:widowControl/>
        <w:spacing w:line="400" w:lineRule="atLeast"/>
        <w:ind w:firstLine="636" w:firstLineChars="199"/>
        <w:jc w:val="left"/>
        <w:rPr>
          <w:rFonts w:ascii="仿宋_GB2312" w:hAnsi="仿宋_GB2312" w:eastAsia="仿宋_GB2312" w:cs="仿宋_GB2312"/>
          <w:sz w:val="32"/>
          <w:szCs w:val="32"/>
        </w:rPr>
      </w:pPr>
    </w:p>
    <w:p>
      <w:pPr>
        <w:widowControl/>
        <w:spacing w:line="400" w:lineRule="atLeast"/>
        <w:ind w:firstLine="636" w:firstLineChars="199"/>
        <w:jc w:val="left"/>
        <w:rPr>
          <w:rFonts w:ascii="仿宋_GB2312" w:hAnsi="仿宋_GB2312" w:eastAsia="仿宋_GB2312" w:cs="仿宋_GB2312"/>
          <w:sz w:val="32"/>
          <w:szCs w:val="32"/>
        </w:rPr>
      </w:pPr>
    </w:p>
    <w:p>
      <w:pPr>
        <w:widowControl/>
        <w:spacing w:line="400" w:lineRule="atLeast"/>
        <w:ind w:firstLine="636" w:firstLineChars="199"/>
        <w:jc w:val="left"/>
        <w:rPr>
          <w:rFonts w:ascii="仿宋_GB2312" w:hAnsi="仿宋_GB2312" w:eastAsia="仿宋_GB2312" w:cs="仿宋_GB2312"/>
          <w:sz w:val="32"/>
          <w:szCs w:val="32"/>
        </w:rPr>
      </w:pPr>
    </w:p>
    <w:tbl>
      <w:tblPr>
        <w:tblStyle w:val="3"/>
        <w:tblW w:w="14037" w:type="dxa"/>
        <w:tblInd w:w="93" w:type="dxa"/>
        <w:tblLayout w:type="fixed"/>
        <w:tblCellMar>
          <w:top w:w="0" w:type="dxa"/>
          <w:left w:w="108" w:type="dxa"/>
          <w:bottom w:w="0" w:type="dxa"/>
          <w:right w:w="108" w:type="dxa"/>
        </w:tblCellMar>
      </w:tblPr>
      <w:tblGrid>
        <w:gridCol w:w="893"/>
        <w:gridCol w:w="3880"/>
        <w:gridCol w:w="3253"/>
        <w:gridCol w:w="4307"/>
        <w:gridCol w:w="1704"/>
      </w:tblGrid>
      <w:tr>
        <w:tblPrEx>
          <w:tblCellMar>
            <w:top w:w="0" w:type="dxa"/>
            <w:left w:w="108" w:type="dxa"/>
            <w:bottom w:w="0" w:type="dxa"/>
            <w:right w:w="108" w:type="dxa"/>
          </w:tblCellMar>
        </w:tblPrEx>
        <w:trPr>
          <w:trHeight w:val="672" w:hRule="atLeast"/>
        </w:trPr>
        <w:tc>
          <w:tcPr>
            <w:tcW w:w="893"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附表二</w:t>
            </w:r>
          </w:p>
        </w:tc>
        <w:tc>
          <w:tcPr>
            <w:tcW w:w="3880" w:type="dxa"/>
            <w:tcBorders>
              <w:top w:val="nil"/>
              <w:left w:val="nil"/>
              <w:bottom w:val="nil"/>
              <w:right w:val="nil"/>
            </w:tcBorders>
            <w:noWrap/>
            <w:vAlign w:val="center"/>
          </w:tcPr>
          <w:p>
            <w:pPr>
              <w:rPr>
                <w:rFonts w:ascii="宋体" w:hAnsi="宋体" w:cs="宋体"/>
                <w:color w:val="000000"/>
                <w:sz w:val="22"/>
              </w:rPr>
            </w:pPr>
          </w:p>
        </w:tc>
        <w:tc>
          <w:tcPr>
            <w:tcW w:w="3253" w:type="dxa"/>
            <w:tcBorders>
              <w:top w:val="nil"/>
              <w:left w:val="nil"/>
              <w:bottom w:val="nil"/>
              <w:right w:val="nil"/>
            </w:tcBorders>
            <w:noWrap/>
            <w:vAlign w:val="center"/>
          </w:tcPr>
          <w:p>
            <w:pPr>
              <w:rPr>
                <w:rFonts w:ascii="宋体" w:hAnsi="宋体" w:cs="宋体"/>
                <w:color w:val="000000"/>
                <w:sz w:val="22"/>
              </w:rPr>
            </w:pPr>
          </w:p>
        </w:tc>
        <w:tc>
          <w:tcPr>
            <w:tcW w:w="4307" w:type="dxa"/>
            <w:tcBorders>
              <w:top w:val="nil"/>
              <w:left w:val="nil"/>
              <w:bottom w:val="nil"/>
              <w:right w:val="nil"/>
            </w:tcBorders>
            <w:noWrap/>
            <w:vAlign w:val="center"/>
          </w:tcPr>
          <w:p>
            <w:pPr>
              <w:rPr>
                <w:rFonts w:ascii="宋体" w:hAnsi="宋体" w:cs="宋体"/>
                <w:color w:val="000000"/>
                <w:sz w:val="22"/>
              </w:rPr>
            </w:pPr>
          </w:p>
        </w:tc>
        <w:tc>
          <w:tcPr>
            <w:tcW w:w="1704" w:type="dxa"/>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900" w:hRule="atLeast"/>
        </w:trPr>
        <w:tc>
          <w:tcPr>
            <w:tcW w:w="14037" w:type="dxa"/>
            <w:gridSpan w:val="5"/>
            <w:tcBorders>
              <w:top w:val="nil"/>
              <w:left w:val="nil"/>
              <w:bottom w:val="single" w:color="000000" w:sz="4" w:space="0"/>
              <w:right w:val="nil"/>
            </w:tcBorders>
            <w:noWrap/>
            <w:vAlign w:val="center"/>
          </w:tcPr>
          <w:p>
            <w:pPr>
              <w:widowControl/>
              <w:jc w:val="center"/>
              <w:textAlignment w:val="center"/>
              <w:rPr>
                <w:rFonts w:ascii="宋体" w:hAnsi="宋体" w:cs="宋体"/>
                <w:color w:val="000000"/>
                <w:sz w:val="52"/>
                <w:szCs w:val="52"/>
              </w:rPr>
            </w:pPr>
            <w:r>
              <w:rPr>
                <w:rFonts w:hint="eastAsia" w:ascii="宋体" w:hAnsi="宋体" w:cs="宋体"/>
                <w:color w:val="000000"/>
                <w:kern w:val="0"/>
                <w:sz w:val="52"/>
                <w:szCs w:val="52"/>
              </w:rPr>
              <w:t>2020年度部门整体支出绩效评价情况表</w:t>
            </w:r>
          </w:p>
        </w:tc>
      </w:tr>
      <w:tr>
        <w:tblPrEx>
          <w:tblCellMar>
            <w:top w:w="0" w:type="dxa"/>
            <w:left w:w="108" w:type="dxa"/>
            <w:bottom w:w="0" w:type="dxa"/>
            <w:right w:w="108" w:type="dxa"/>
          </w:tblCellMar>
        </w:tblPrEx>
        <w:trPr>
          <w:trHeight w:val="1272"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项目名称</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财政资金（单位：万元）</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评价情况</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b/>
                <w:bCs/>
                <w:color w:val="000000"/>
                <w:sz w:val="24"/>
                <w:szCs w:val="24"/>
              </w:rPr>
            </w:pPr>
            <w:r>
              <w:rPr>
                <w:rFonts w:hint="eastAsia" w:ascii="黑体" w:hAnsi="宋体" w:eastAsia="黑体" w:cs="黑体"/>
                <w:b/>
                <w:bCs/>
                <w:color w:val="000000"/>
                <w:kern w:val="0"/>
                <w:sz w:val="24"/>
                <w:szCs w:val="24"/>
              </w:rPr>
              <w:t>评价等级</w:t>
            </w:r>
          </w:p>
        </w:tc>
      </w:tr>
      <w:tr>
        <w:tblPrEx>
          <w:tblCellMar>
            <w:top w:w="0" w:type="dxa"/>
            <w:left w:w="108" w:type="dxa"/>
            <w:bottom w:w="0" w:type="dxa"/>
            <w:right w:w="108" w:type="dxa"/>
          </w:tblCellMar>
        </w:tblPrEx>
        <w:trPr>
          <w:trHeight w:val="118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淮北市农业农村局整体支出</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5904.21</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2020年整体支出项目较好地实现了预期绩效目标，总体组织管理有序、执行有效，取得了较好的社会经济效益。</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优</w:t>
            </w:r>
          </w:p>
        </w:tc>
      </w:tr>
      <w:tr>
        <w:tblPrEx>
          <w:tblCellMar>
            <w:top w:w="0" w:type="dxa"/>
            <w:left w:w="108" w:type="dxa"/>
            <w:bottom w:w="0" w:type="dxa"/>
            <w:right w:w="108" w:type="dxa"/>
          </w:tblCellMar>
        </w:tblPrEx>
        <w:trPr>
          <w:trHeight w:val="220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淮北市数据资源管理局整体支出</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5081.86</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各方面工作都得到社会大众的肯定和好评，且不断改善行政管理、严格经费及资产管理，改进文风会风，精简会议，提高了行政效率，降低了行政成本。推进了行政权力运行程序化和公开透明，为改进政务服务，提高行政效能，更好地便捷高效服务群众提供保障。</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优</w:t>
            </w:r>
          </w:p>
        </w:tc>
      </w:tr>
      <w:tr>
        <w:tblPrEx>
          <w:tblCellMar>
            <w:top w:w="0" w:type="dxa"/>
            <w:left w:w="108" w:type="dxa"/>
            <w:bottom w:w="0" w:type="dxa"/>
            <w:right w:w="108" w:type="dxa"/>
          </w:tblCellMar>
        </w:tblPrEx>
        <w:trPr>
          <w:trHeight w:val="1080"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淮北市市场监督管理局整体支出</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7271.8</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2020年整体支出项目较好地实现了预期绩效目标，总体组织管理有序、执行有效，取得了较好的社会经济效益。</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优</w:t>
            </w:r>
          </w:p>
        </w:tc>
      </w:tr>
      <w:tr>
        <w:tblPrEx>
          <w:tblCellMar>
            <w:top w:w="0" w:type="dxa"/>
            <w:left w:w="108" w:type="dxa"/>
            <w:bottom w:w="0" w:type="dxa"/>
            <w:right w:w="108" w:type="dxa"/>
          </w:tblCellMar>
        </w:tblPrEx>
        <w:trPr>
          <w:trHeight w:val="136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淮北市科学技术协会部门整体支出</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329.44</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在履行职能的过程中，开展了有关职能职责的相关工作，并取得了一定的成绩与效果。但在主要工作及重点工作的绩效目标设定方面，还需要进一步优化。</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良</w:t>
            </w:r>
          </w:p>
        </w:tc>
      </w:tr>
      <w:tr>
        <w:tblPrEx>
          <w:tblCellMar>
            <w:top w:w="0" w:type="dxa"/>
            <w:left w:w="108" w:type="dxa"/>
            <w:bottom w:w="0" w:type="dxa"/>
            <w:right w:w="108" w:type="dxa"/>
          </w:tblCellMar>
        </w:tblPrEx>
        <w:trPr>
          <w:trHeight w:val="94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 淮北市林业局部门整体支出</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2860.94</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在履行职能的过程中，开展了有关职能职责的相关工作，并取得了良好的成绩与效果。</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优</w:t>
            </w:r>
          </w:p>
        </w:tc>
      </w:tr>
      <w:tr>
        <w:tblPrEx>
          <w:tblCellMar>
            <w:top w:w="0" w:type="dxa"/>
            <w:left w:w="108" w:type="dxa"/>
            <w:bottom w:w="0" w:type="dxa"/>
            <w:right w:w="108" w:type="dxa"/>
          </w:tblCellMar>
        </w:tblPrEx>
        <w:trPr>
          <w:trHeight w:val="2268"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淮北市人力资源和社会保障局人社局部门整体支出</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9570.93</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2020年度履行职能过程中多项工作超额完成，取得了优秀成绩与效果，在省级评比中名列前茅。通过工作的开展稳定了就业形势，完善了社会保险体系，城镇居民参保稳定。不足之处在于部门整体绩效目标的设定方面不明确，绩效指标设定不够明确。</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优</w:t>
            </w:r>
          </w:p>
        </w:tc>
      </w:tr>
      <w:tr>
        <w:tblPrEx>
          <w:tblCellMar>
            <w:top w:w="0" w:type="dxa"/>
            <w:left w:w="108" w:type="dxa"/>
            <w:bottom w:w="0" w:type="dxa"/>
            <w:right w:w="108" w:type="dxa"/>
          </w:tblCellMar>
        </w:tblPrEx>
        <w:trPr>
          <w:trHeight w:val="1872" w:hRule="atLeast"/>
        </w:trPr>
        <w:tc>
          <w:tcPr>
            <w:tcW w:w="8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3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淮北市商务局部门整体支出</w:t>
            </w:r>
          </w:p>
        </w:tc>
        <w:tc>
          <w:tcPr>
            <w:tcW w:w="3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3695.23</w:t>
            </w:r>
          </w:p>
        </w:tc>
        <w:tc>
          <w:tcPr>
            <w:tcW w:w="430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在履行职能的过程中，开展了有关职能职责的相关工作，并取得了良好的成绩与效果。但在部门整体绩效目标的设定方面不明确，未能制定明确的中长期规划，二级预算单位也未能制定详尽的年度工作计划。</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eastAsia="仿宋_GB2312" w:cs="仿宋_GB2312"/>
                <w:color w:val="000000"/>
                <w:sz w:val="24"/>
                <w:szCs w:val="24"/>
                <w:lang w:eastAsia="zh-CN"/>
              </w:rPr>
            </w:pPr>
            <w:r>
              <w:rPr>
                <w:rFonts w:hint="eastAsia" w:ascii="仿宋_GB2312" w:hAnsi="宋体" w:eastAsia="仿宋_GB2312" w:cs="仿宋_GB2312"/>
                <w:color w:val="000000"/>
                <w:kern w:val="0"/>
                <w:sz w:val="24"/>
                <w:szCs w:val="24"/>
                <w:lang w:eastAsia="zh-CN"/>
              </w:rPr>
              <w:t>优</w:t>
            </w:r>
            <w:bookmarkStart w:id="0" w:name="_GoBack"/>
            <w:bookmarkEnd w:id="0"/>
          </w:p>
        </w:tc>
      </w:tr>
    </w:tbl>
    <w:p>
      <w:pPr>
        <w:widowControl/>
        <w:spacing w:line="400" w:lineRule="atLeast"/>
        <w:jc w:val="left"/>
        <w:rPr>
          <w:rFonts w:ascii="仿宋_GB2312" w:hAnsi="仿宋_GB2312" w:eastAsia="仿宋_GB2312" w:cs="仿宋_GB2312"/>
          <w:sz w:val="32"/>
          <w:szCs w:val="32"/>
        </w:rPr>
      </w:pPr>
    </w:p>
    <w:p/>
    <w:sectPr>
      <w:pgSz w:w="16838" w:h="11906" w:orient="landscape"/>
      <w:pgMar w:top="1803" w:right="1440" w:bottom="1843" w:left="1440"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97501"/>
    <w:rsid w:val="4F121DCB"/>
    <w:rsid w:val="7969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2021-11-09T01:50:00Z</dcterms:created>
  <dc:creator>Administrator</dc:creator>
  <cp:lastModifiedBy>Administrator</cp:lastModifiedBy>
  <dcterms:modified xsi:type="dcterms:W3CDTF">2021-12-07T06:55:10Z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68A938C30261473ABBF8FF198CC8B297</vt:lpwstr>
  </property>
</Properties>
</file>