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12" w:rsidRPr="00FD4CD7" w:rsidRDefault="002269AC" w:rsidP="002269AC">
      <w:pPr>
        <w:jc w:val="center"/>
        <w:rPr>
          <w:rFonts w:ascii="黑体" w:eastAsia="黑体"/>
          <w:sz w:val="44"/>
          <w:szCs w:val="44"/>
        </w:rPr>
      </w:pPr>
      <w:bookmarkStart w:id="0" w:name="OLE_LINK1"/>
      <w:r w:rsidRPr="00FD4CD7">
        <w:rPr>
          <w:rFonts w:ascii="黑体" w:eastAsia="黑体" w:hint="eastAsia"/>
          <w:sz w:val="44"/>
          <w:szCs w:val="44"/>
        </w:rPr>
        <w:t>淮北</w:t>
      </w:r>
      <w:r w:rsidR="00E10A21" w:rsidRPr="00FD4CD7">
        <w:rPr>
          <w:rFonts w:ascii="黑体" w:eastAsia="黑体" w:hint="eastAsia"/>
          <w:sz w:val="44"/>
          <w:szCs w:val="44"/>
        </w:rPr>
        <w:t>市财政局（</w:t>
      </w:r>
      <w:r w:rsidR="0084459B" w:rsidRPr="00FD4CD7">
        <w:rPr>
          <w:rFonts w:ascii="黑体" w:eastAsia="黑体" w:hint="eastAsia"/>
          <w:sz w:val="44"/>
          <w:szCs w:val="44"/>
        </w:rPr>
        <w:t>国资委</w:t>
      </w:r>
      <w:r w:rsidR="00E10A21" w:rsidRPr="00FD4CD7">
        <w:rPr>
          <w:rFonts w:ascii="黑体" w:eastAsia="黑体" w:hint="eastAsia"/>
          <w:sz w:val="44"/>
          <w:szCs w:val="44"/>
        </w:rPr>
        <w:t>）</w:t>
      </w:r>
      <w:r w:rsidRPr="00FD4CD7">
        <w:rPr>
          <w:rFonts w:ascii="黑体" w:eastAsia="黑体" w:hint="eastAsia"/>
          <w:sz w:val="44"/>
          <w:szCs w:val="44"/>
        </w:rPr>
        <w:t>权责清单目录</w:t>
      </w:r>
      <w:r w:rsidR="00E10A21" w:rsidRPr="00FD4CD7">
        <w:rPr>
          <w:rFonts w:ascii="黑体" w:eastAsia="黑体" w:hint="eastAsia"/>
          <w:sz w:val="44"/>
          <w:szCs w:val="44"/>
        </w:rPr>
        <w:t>（2021年本）</w:t>
      </w:r>
    </w:p>
    <w:p w:rsidR="002269AC" w:rsidRDefault="002269AC">
      <w:pPr>
        <w:rPr>
          <w:rFonts w:eastAsia="方正小标宋简体"/>
          <w:sz w:val="44"/>
          <w:szCs w:val="44"/>
        </w:rPr>
      </w:pPr>
      <w:bookmarkStart w:id="1" w:name="OLE_LINK2"/>
      <w:bookmarkStart w:id="2" w:name="OLE_LINK4"/>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1556"/>
        <w:gridCol w:w="6272"/>
      </w:tblGrid>
      <w:tr w:rsidR="00E10A21" w:rsidTr="00512FCF">
        <w:trPr>
          <w:trHeight w:val="570"/>
        </w:trPr>
        <w:tc>
          <w:tcPr>
            <w:tcW w:w="406" w:type="pct"/>
            <w:vAlign w:val="center"/>
          </w:tcPr>
          <w:p w:rsidR="00E10A21" w:rsidRDefault="00E10A21" w:rsidP="00512FCF">
            <w:pPr>
              <w:widowControl/>
              <w:spacing w:line="400" w:lineRule="exact"/>
              <w:jc w:val="center"/>
              <w:textAlignment w:val="center"/>
              <w:rPr>
                <w:rFonts w:eastAsia="黑体"/>
                <w:color w:val="000000"/>
                <w:sz w:val="24"/>
              </w:rPr>
            </w:pPr>
            <w:r>
              <w:rPr>
                <w:rFonts w:eastAsia="黑体"/>
                <w:color w:val="000000"/>
                <w:kern w:val="0"/>
                <w:sz w:val="24"/>
              </w:rPr>
              <w:t>序号</w:t>
            </w:r>
          </w:p>
        </w:tc>
        <w:tc>
          <w:tcPr>
            <w:tcW w:w="913" w:type="pct"/>
            <w:vAlign w:val="center"/>
          </w:tcPr>
          <w:p w:rsidR="00E10A21" w:rsidRDefault="00E10A21" w:rsidP="00512FCF">
            <w:pPr>
              <w:widowControl/>
              <w:spacing w:line="400" w:lineRule="exact"/>
              <w:jc w:val="center"/>
              <w:textAlignment w:val="center"/>
              <w:rPr>
                <w:rFonts w:eastAsia="黑体"/>
                <w:color w:val="000000"/>
                <w:sz w:val="24"/>
              </w:rPr>
            </w:pPr>
            <w:r>
              <w:rPr>
                <w:rFonts w:eastAsia="黑体"/>
                <w:color w:val="000000"/>
                <w:kern w:val="0"/>
                <w:sz w:val="24"/>
              </w:rPr>
              <w:t>权力类型</w:t>
            </w:r>
          </w:p>
        </w:tc>
        <w:tc>
          <w:tcPr>
            <w:tcW w:w="3681" w:type="pct"/>
            <w:vAlign w:val="center"/>
          </w:tcPr>
          <w:p w:rsidR="00E10A21" w:rsidRDefault="00E10A21" w:rsidP="00512FCF">
            <w:pPr>
              <w:widowControl/>
              <w:spacing w:line="400" w:lineRule="exact"/>
              <w:jc w:val="center"/>
              <w:textAlignment w:val="center"/>
              <w:rPr>
                <w:rFonts w:eastAsia="黑体"/>
                <w:color w:val="000000"/>
                <w:sz w:val="24"/>
              </w:rPr>
            </w:pPr>
            <w:r>
              <w:rPr>
                <w:rFonts w:eastAsia="黑体"/>
                <w:color w:val="000000"/>
                <w:kern w:val="0"/>
                <w:sz w:val="24"/>
              </w:rPr>
              <w:t>权力事项名称</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1</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行政许可</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中介机构从事代理记账业务审批</w:t>
            </w:r>
          </w:p>
        </w:tc>
      </w:tr>
      <w:tr w:rsidR="00E10A21" w:rsidTr="00512FCF">
        <w:trPr>
          <w:trHeight w:val="48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2</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对企业和个人不缴或者少缴财政收入行为的处罚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3</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对违反规定使用、骗取财政资金以及政府承贷或者担保的外国政府贷款、国际金融组织贷款的处罚</w:t>
            </w:r>
          </w:p>
        </w:tc>
      </w:tr>
      <w:tr w:rsidR="00E10A21" w:rsidTr="00512FCF">
        <w:trPr>
          <w:trHeight w:val="48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4</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对单位和个人违反财政收入票据管理规定行为的处罚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5</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对单位和个人违反财务管理的规定，私存私放财政资金或者其他公款行为的处罚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6</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对单位和个人违反国家投资建设项目有关规定行为的处罚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7</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对随意改变会计要素的确认和计量标准等五类行为的处罚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8</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对不依法设置会计帐簿等十类行为的处罚</w:t>
            </w:r>
          </w:p>
        </w:tc>
      </w:tr>
      <w:tr w:rsidR="00E10A21" w:rsidTr="00512FCF">
        <w:trPr>
          <w:trHeight w:val="48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9</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对伪造、变造会计凭证、会计帐簿，编制虚假财务会计报告行为的处罚</w:t>
            </w:r>
          </w:p>
        </w:tc>
      </w:tr>
      <w:tr w:rsidR="00E10A21" w:rsidTr="00512FCF">
        <w:trPr>
          <w:trHeight w:val="72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10</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对隐匿或者故意销毁依法应当保存的会计凭证、会计帐簿、财务会计报告行为的处罚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11</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对授意、指使、强令会计机构、会计人员及其他人员伪造、变造会计凭证、会计帐簿，编制虚假财务会计报告或者隐匿、故意销毁依法应当保存的会计凭证、会计帐簿、财务会计报告行为的处罚</w:t>
            </w:r>
          </w:p>
        </w:tc>
      </w:tr>
      <w:tr w:rsidR="00E10A21" w:rsidTr="00512FCF">
        <w:trPr>
          <w:trHeight w:val="48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12</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对代理记账机构采取欺骗、贿赂等不正当手段取得代理记账资格的行为处罚</w:t>
            </w:r>
          </w:p>
        </w:tc>
      </w:tr>
      <w:tr w:rsidR="00E10A21" w:rsidTr="00512FCF">
        <w:trPr>
          <w:trHeight w:val="48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13</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对代理记账机构及其负责人、主管代理记账业务负责人及其从业人员违反规定出具虚假申请材料或者备案材料的处罚</w:t>
            </w:r>
          </w:p>
        </w:tc>
      </w:tr>
      <w:tr w:rsidR="00E10A21" w:rsidTr="00512FCF">
        <w:trPr>
          <w:trHeight w:val="48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14</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对代理记账机构从业人员在办理业务中违反会计法律、法规和国家统一的会计制度的规定，造成委托人会计核算混乱、损害国家和委托人利益的处罚</w:t>
            </w:r>
          </w:p>
        </w:tc>
      </w:tr>
      <w:tr w:rsidR="00E10A21" w:rsidTr="00512FCF">
        <w:trPr>
          <w:trHeight w:val="48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15</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对采购人、采购代理机构应当采用公开招标方式而擅自采用其他方式采购等六类情形的处罚</w:t>
            </w:r>
          </w:p>
        </w:tc>
      </w:tr>
      <w:tr w:rsidR="00E10A21" w:rsidTr="00512FCF">
        <w:trPr>
          <w:trHeight w:val="48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16</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对采购人、采购代理机构及其工作人员与供应商或者采购代理机构恶</w:t>
            </w:r>
            <w:r>
              <w:rPr>
                <w:color w:val="000000"/>
                <w:kern w:val="0"/>
                <w:sz w:val="20"/>
                <w:szCs w:val="20"/>
              </w:rPr>
              <w:lastRenderedPageBreak/>
              <w:t>意串通等四类情形的处罚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lastRenderedPageBreak/>
              <w:t>17</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对采购人、采购代理机构违反本法规定隐匿、销毁应当保存的采购文件或者伪造、变造采购文件的处罚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18</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对供应商提供虚假材料谋取中标、成交等六类情形的处罚</w:t>
            </w:r>
          </w:p>
        </w:tc>
      </w:tr>
      <w:tr w:rsidR="00E10A21" w:rsidTr="00512FCF">
        <w:trPr>
          <w:trHeight w:val="48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19</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对采购人、采购代理机构未依法开展采购活动等十一类情形的处罚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20</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对采购人、采购代理机构未按照规定在指定媒体上发布政府采购信息等五类情形的处罚</w:t>
            </w:r>
          </w:p>
        </w:tc>
      </w:tr>
      <w:tr w:rsidR="00E10A21" w:rsidTr="00512FCF">
        <w:trPr>
          <w:trHeight w:val="48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21</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对采购人未按照规定采用非招标采购方式等四类情形的处罚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22</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对谈判小组、询价小组成员收受采购人、采购代理机构、供应商、其他利害关系人的财物或者其他不正当利益等六类行为的处罚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23</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对私自接受委托从事业务、收取费用等六类行为的处罚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24</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对评估专业人员违反规定，签署虚假评估报告的处罚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25</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对评估机构利用开展业务之便，谋取不正当利益等十类行为的处罚</w:t>
            </w:r>
          </w:p>
        </w:tc>
      </w:tr>
      <w:tr w:rsidR="00E10A21" w:rsidTr="00512FCF">
        <w:trPr>
          <w:trHeight w:val="48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26</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对评估机构违反规定，出具虚假评估报告的处罚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27</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对评估机构、评估专业人员在一年内累计三次因违法规定受到责令停业、责令停止从业以外处罚的处罚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28</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对应当委托评估机构进行法定评估而未委托的处罚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29</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对委托人在法定评估中未依法选择评估机构等五类行为的处罚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30</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行政处罚</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对评估行业协会违反规定的处罚</w:t>
            </w:r>
          </w:p>
        </w:tc>
      </w:tr>
      <w:tr w:rsidR="00E10A21" w:rsidTr="00512FCF">
        <w:trPr>
          <w:trHeight w:val="240"/>
        </w:trPr>
        <w:tc>
          <w:tcPr>
            <w:tcW w:w="406"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31</w:t>
            </w:r>
          </w:p>
        </w:tc>
        <w:tc>
          <w:tcPr>
            <w:tcW w:w="913" w:type="pct"/>
            <w:vAlign w:val="center"/>
          </w:tcPr>
          <w:p w:rsidR="00E10A21" w:rsidRDefault="00E10A21" w:rsidP="00512FCF">
            <w:pPr>
              <w:widowControl/>
              <w:spacing w:line="400" w:lineRule="exact"/>
              <w:jc w:val="center"/>
              <w:textAlignment w:val="center"/>
              <w:rPr>
                <w:color w:val="000000"/>
                <w:sz w:val="20"/>
                <w:szCs w:val="20"/>
              </w:rPr>
            </w:pPr>
            <w:r>
              <w:rPr>
                <w:color w:val="000000"/>
                <w:kern w:val="0"/>
                <w:sz w:val="20"/>
                <w:szCs w:val="20"/>
              </w:rPr>
              <w:t>其他权力</w:t>
            </w:r>
          </w:p>
        </w:tc>
        <w:tc>
          <w:tcPr>
            <w:tcW w:w="3681" w:type="pct"/>
            <w:vAlign w:val="center"/>
          </w:tcPr>
          <w:p w:rsidR="00E10A21" w:rsidRDefault="00E10A21" w:rsidP="00512FCF">
            <w:pPr>
              <w:widowControl/>
              <w:spacing w:line="400" w:lineRule="exact"/>
              <w:jc w:val="left"/>
              <w:textAlignment w:val="center"/>
              <w:rPr>
                <w:color w:val="000000"/>
                <w:sz w:val="20"/>
                <w:szCs w:val="20"/>
              </w:rPr>
            </w:pPr>
            <w:r>
              <w:rPr>
                <w:color w:val="000000"/>
                <w:kern w:val="0"/>
                <w:sz w:val="20"/>
                <w:szCs w:val="20"/>
              </w:rPr>
              <w:t>资产评估机构和分支机构备案</w:t>
            </w:r>
          </w:p>
        </w:tc>
      </w:tr>
      <w:bookmarkEnd w:id="0"/>
      <w:bookmarkEnd w:id="1"/>
      <w:bookmarkEnd w:id="2"/>
    </w:tbl>
    <w:p w:rsidR="002269AC" w:rsidRPr="00E10A21" w:rsidRDefault="002269AC"/>
    <w:sectPr w:rsidR="002269AC" w:rsidRPr="00E10A21" w:rsidSect="008124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71D" w:rsidRDefault="0061071D" w:rsidP="00E10A21">
      <w:r>
        <w:separator/>
      </w:r>
    </w:p>
  </w:endnote>
  <w:endnote w:type="continuationSeparator" w:id="1">
    <w:p w:rsidR="0061071D" w:rsidRDefault="0061071D" w:rsidP="00E10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71D" w:rsidRDefault="0061071D" w:rsidP="00E10A21">
      <w:r>
        <w:separator/>
      </w:r>
    </w:p>
  </w:footnote>
  <w:footnote w:type="continuationSeparator" w:id="1">
    <w:p w:rsidR="0061071D" w:rsidRDefault="0061071D" w:rsidP="00E10A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9AC"/>
    <w:rsid w:val="001A588B"/>
    <w:rsid w:val="002269AC"/>
    <w:rsid w:val="003865C2"/>
    <w:rsid w:val="004A6D9B"/>
    <w:rsid w:val="0061071D"/>
    <w:rsid w:val="00812412"/>
    <w:rsid w:val="0084459B"/>
    <w:rsid w:val="009D470D"/>
    <w:rsid w:val="00E10A21"/>
    <w:rsid w:val="00FD22F2"/>
    <w:rsid w:val="00FD4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4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0A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0A21"/>
    <w:rPr>
      <w:kern w:val="2"/>
      <w:sz w:val="18"/>
      <w:szCs w:val="18"/>
    </w:rPr>
  </w:style>
  <w:style w:type="paragraph" w:styleId="a4">
    <w:name w:val="footer"/>
    <w:basedOn w:val="a"/>
    <w:link w:val="Char0"/>
    <w:rsid w:val="00E10A21"/>
    <w:pPr>
      <w:tabs>
        <w:tab w:val="center" w:pos="4153"/>
        <w:tab w:val="right" w:pos="8306"/>
      </w:tabs>
      <w:snapToGrid w:val="0"/>
      <w:jc w:val="left"/>
    </w:pPr>
    <w:rPr>
      <w:sz w:val="18"/>
      <w:szCs w:val="18"/>
    </w:rPr>
  </w:style>
  <w:style w:type="character" w:customStyle="1" w:styleId="Char0">
    <w:name w:val="页脚 Char"/>
    <w:basedOn w:val="a0"/>
    <w:link w:val="a4"/>
    <w:rsid w:val="00E10A2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204</Words>
  <Characters>1165</Characters>
  <Application>Microsoft Office Word</Application>
  <DocSecurity>0</DocSecurity>
  <Lines>9</Lines>
  <Paragraphs>2</Paragraphs>
  <ScaleCrop>false</ScaleCrop>
  <Company>Sky123.Org</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郜合新</dc:creator>
  <cp:keywords/>
  <dc:description/>
  <cp:lastModifiedBy>郜合新</cp:lastModifiedBy>
  <cp:revision>7</cp:revision>
  <dcterms:created xsi:type="dcterms:W3CDTF">2021-06-21T02:07:00Z</dcterms:created>
  <dcterms:modified xsi:type="dcterms:W3CDTF">2021-06-21T02:35:00Z</dcterms:modified>
</cp:coreProperties>
</file>