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729" w:type="dxa"/>
        <w:tblInd w:w="0" w:type="dxa"/>
        <w:shd w:val="clear" w:color="auto" w:fill="auto"/>
        <w:tblLayout w:type="autofit"/>
        <w:tblCellMar>
          <w:top w:w="0" w:type="dxa"/>
          <w:left w:w="0" w:type="dxa"/>
          <w:bottom w:w="0" w:type="dxa"/>
          <w:right w:w="0" w:type="dxa"/>
        </w:tblCellMar>
      </w:tblPr>
      <w:tblGrid>
        <w:gridCol w:w="1735"/>
        <w:gridCol w:w="756"/>
        <w:gridCol w:w="4031"/>
        <w:gridCol w:w="885"/>
        <w:gridCol w:w="756"/>
        <w:gridCol w:w="756"/>
        <w:gridCol w:w="810"/>
      </w:tblGrid>
      <w:tr>
        <w:tblPrEx>
          <w:shd w:val="clear" w:color="auto" w:fill="auto"/>
          <w:tblCellMar>
            <w:top w:w="0" w:type="dxa"/>
            <w:left w:w="0" w:type="dxa"/>
            <w:bottom w:w="0" w:type="dxa"/>
            <w:right w:w="0" w:type="dxa"/>
          </w:tblCellMar>
        </w:tblPrEx>
        <w:trPr>
          <w:trHeight w:val="225" w:hRule="atLeast"/>
        </w:trPr>
        <w:tc>
          <w:tcPr>
            <w:tcW w:w="9729" w:type="dxa"/>
            <w:gridSpan w:val="7"/>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8"/>
                <w:szCs w:val="28"/>
                <w:u w:val="none"/>
                <w:lang w:val="en-US" w:eastAsia="zh-CN" w:bidi="ar"/>
              </w:rPr>
              <w:t>附件2：</w:t>
            </w:r>
          </w:p>
        </w:tc>
      </w:tr>
      <w:tr>
        <w:tblPrEx>
          <w:tblCellMar>
            <w:top w:w="0" w:type="dxa"/>
            <w:left w:w="0" w:type="dxa"/>
            <w:bottom w:w="0" w:type="dxa"/>
            <w:right w:w="0" w:type="dxa"/>
          </w:tblCellMar>
        </w:tblPrEx>
        <w:trPr>
          <w:trHeight w:val="282" w:hRule="atLeast"/>
        </w:trPr>
        <w:tc>
          <w:tcPr>
            <w:tcW w:w="9729" w:type="dxa"/>
            <w:gridSpan w:val="7"/>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4"/>
                <w:szCs w:val="44"/>
                <w:u w:val="none"/>
                <w:lang w:eastAsia="zh-CN"/>
              </w:rPr>
            </w:pPr>
            <w:r>
              <w:rPr>
                <w:rFonts w:hint="eastAsia" w:ascii="方正小标宋简体" w:hAnsi="方正小标宋简体" w:eastAsia="方正小标宋简体" w:cs="方正小标宋简体"/>
                <w:i w:val="0"/>
                <w:color w:val="000000"/>
                <w:sz w:val="44"/>
                <w:szCs w:val="44"/>
                <w:u w:val="none"/>
                <w:lang w:eastAsia="zh-CN"/>
              </w:rPr>
              <w:t>县（区）级财政部门预算绩效管理工作考核评分表</w:t>
            </w:r>
          </w:p>
        </w:tc>
      </w:tr>
      <w:tr>
        <w:tblPrEx>
          <w:tblCellMar>
            <w:top w:w="0" w:type="dxa"/>
            <w:left w:w="0" w:type="dxa"/>
            <w:bottom w:w="0" w:type="dxa"/>
            <w:right w:w="0" w:type="dxa"/>
          </w:tblCellMar>
        </w:tblPrEx>
        <w:trPr>
          <w:trHeight w:val="282" w:hRule="atLeast"/>
        </w:trPr>
        <w:tc>
          <w:tcPr>
            <w:tcW w:w="1735"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填报单位：</w:t>
            </w:r>
          </w:p>
        </w:tc>
        <w:tc>
          <w:tcPr>
            <w:tcW w:w="7994" w:type="dxa"/>
            <w:gridSpan w:val="6"/>
            <w:tcBorders>
              <w:top w:val="nil"/>
              <w:left w:val="nil"/>
              <w:bottom w:val="nil"/>
              <w:right w:val="nil"/>
            </w:tcBorders>
            <w:shd w:val="clear" w:color="auto" w:fill="FFFFFF"/>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填报时间：    年  月  日</w:t>
            </w:r>
          </w:p>
        </w:tc>
      </w:tr>
      <w:tr>
        <w:tblPrEx>
          <w:tblCellMar>
            <w:top w:w="0" w:type="dxa"/>
            <w:left w:w="0" w:type="dxa"/>
            <w:bottom w:w="0" w:type="dxa"/>
            <w:right w:w="0" w:type="dxa"/>
          </w:tblCellMar>
        </w:tblPrEx>
        <w:trPr>
          <w:trHeight w:val="439" w:hRule="atLeast"/>
        </w:trPr>
        <w:tc>
          <w:tcPr>
            <w:tcW w:w="1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考核内容</w:t>
            </w: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计分标准</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分值</w:t>
            </w: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自评分</w:t>
            </w: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评定分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462" w:hRule="atLeast"/>
        </w:trPr>
        <w:tc>
          <w:tcPr>
            <w:tcW w:w="1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一、基础工作</w:t>
            </w: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 xml:space="preserve">15 </w:t>
            </w: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582" w:hRule="atLeast"/>
        </w:trPr>
        <w:tc>
          <w:tcPr>
            <w:tcW w:w="1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（一）组织保障</w:t>
            </w: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auto"/>
                <w:kern w:val="0"/>
                <w:sz w:val="24"/>
                <w:szCs w:val="24"/>
                <w:u w:val="none"/>
                <w:lang w:val="en-US" w:eastAsia="zh-CN" w:bidi="ar"/>
              </w:rPr>
              <w:t>成立预算绩效管理专门机构</w:t>
            </w:r>
            <w:r>
              <w:rPr>
                <w:rStyle w:val="6"/>
                <w:color w:val="auto"/>
                <w:sz w:val="24"/>
                <w:szCs w:val="24"/>
                <w:lang w:val="en-US" w:eastAsia="zh-CN" w:bidi="ar"/>
              </w:rPr>
              <w:t>或明确专职人员</w:t>
            </w:r>
            <w:r>
              <w:rPr>
                <w:rStyle w:val="7"/>
                <w:color w:val="auto"/>
                <w:sz w:val="24"/>
                <w:szCs w:val="24"/>
                <w:lang w:val="en-US" w:eastAsia="zh-CN" w:bidi="ar"/>
              </w:rPr>
              <w:t>的，得2分。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 </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799" w:hRule="atLeast"/>
        </w:trPr>
        <w:tc>
          <w:tcPr>
            <w:tcW w:w="1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（二）制度建设</w:t>
            </w: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淮发〔2019〕12号文下发后，新出台全面实施预算绩效管理意见或落实方案的，得</w:t>
            </w:r>
            <w:r>
              <w:rPr>
                <w:rStyle w:val="7"/>
                <w:sz w:val="24"/>
                <w:szCs w:val="24"/>
                <w:lang w:val="en-US" w:eastAsia="zh-CN" w:bidi="ar"/>
              </w:rPr>
              <w:t>2分。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 </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6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按照建立全面实施预算绩效管理体系的要求，出台相关预算绩效管理制度办法的，每出台一个办法得1分，最高得3分。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 </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42"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建立对</w:t>
            </w:r>
            <w:r>
              <w:rPr>
                <w:rStyle w:val="6"/>
                <w:color w:val="auto"/>
                <w:sz w:val="24"/>
                <w:szCs w:val="24"/>
                <w:lang w:val="en-US" w:eastAsia="zh-CN" w:bidi="ar"/>
              </w:rPr>
              <w:t>县（区）直部门</w:t>
            </w:r>
            <w:r>
              <w:rPr>
                <w:rStyle w:val="7"/>
                <w:color w:val="auto"/>
                <w:sz w:val="24"/>
                <w:szCs w:val="24"/>
                <w:lang w:val="en-US" w:eastAsia="zh-CN" w:bidi="ar"/>
              </w:rPr>
              <w:t>和</w:t>
            </w:r>
            <w:r>
              <w:rPr>
                <w:rStyle w:val="6"/>
                <w:color w:val="auto"/>
                <w:sz w:val="24"/>
                <w:szCs w:val="24"/>
                <w:lang w:val="en-US" w:eastAsia="zh-CN" w:bidi="ar"/>
              </w:rPr>
              <w:t>乡镇</w:t>
            </w:r>
            <w:r>
              <w:rPr>
                <w:rStyle w:val="7"/>
                <w:sz w:val="24"/>
                <w:szCs w:val="24"/>
                <w:lang w:val="en-US" w:eastAsia="zh-CN" w:bidi="ar"/>
              </w:rPr>
              <w:t>预算绩效管理工作考核机制，并将预算绩效管理情况纳入县政府目标管理绩效考核范围的，得2分。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 </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420" w:hRule="atLeast"/>
        </w:trPr>
        <w:tc>
          <w:tcPr>
            <w:tcW w:w="1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(三）指标体系建设</w:t>
            </w: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建立本</w:t>
            </w:r>
            <w:r>
              <w:rPr>
                <w:rStyle w:val="6"/>
                <w:color w:val="auto"/>
                <w:sz w:val="24"/>
                <w:szCs w:val="24"/>
                <w:lang w:val="en-US" w:eastAsia="zh-CN" w:bidi="ar"/>
              </w:rPr>
              <w:t>县（区）</w:t>
            </w:r>
            <w:r>
              <w:rPr>
                <w:rStyle w:val="7"/>
                <w:sz w:val="24"/>
                <w:szCs w:val="24"/>
                <w:lang w:val="en-US" w:eastAsia="zh-CN" w:bidi="ar"/>
              </w:rPr>
              <w:t>分行业分领域分层级的核心绩效指标和标准体系的，得2分。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 </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79" w:hRule="atLeast"/>
        </w:trPr>
        <w:tc>
          <w:tcPr>
            <w:tcW w:w="1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（四）交流培训</w:t>
            </w: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建立并应用预算绩效管理一体化信息系统的，得2分。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 </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642"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按时报送预算绩效管理工作计划和总结、工作动态信息,及时组织对县（区）直部门和所属</w:t>
            </w:r>
            <w:r>
              <w:rPr>
                <w:rStyle w:val="6"/>
                <w:color w:val="auto"/>
                <w:sz w:val="24"/>
                <w:szCs w:val="24"/>
                <w:lang w:val="en-US" w:eastAsia="zh-CN" w:bidi="ar"/>
              </w:rPr>
              <w:t>乡镇</w:t>
            </w:r>
            <w:r>
              <w:rPr>
                <w:rStyle w:val="7"/>
                <w:sz w:val="24"/>
                <w:szCs w:val="24"/>
                <w:lang w:val="en-US" w:eastAsia="zh-CN" w:bidi="ar"/>
              </w:rPr>
              <w:t>开展全面预算绩效管理政策宣讲、业务培训等的，得2分。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 </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499" w:hRule="atLeast"/>
        </w:trPr>
        <w:tc>
          <w:tcPr>
            <w:tcW w:w="1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二、事前绩效评估</w:t>
            </w: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本年度事前绩效评估情况，即编制本年度预算时，对新增重大项目（政策）开展事前绩效评估情况。</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 xml:space="preserve">10 </w:t>
            </w: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882" w:hRule="atLeast"/>
        </w:trPr>
        <w:tc>
          <w:tcPr>
            <w:tcW w:w="1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（一）管理范围</w:t>
            </w: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建立新增重大项目（政策）事前绩效评估机制并开展相关工作的，得6分。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 </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702" w:hRule="atLeast"/>
        </w:trPr>
        <w:tc>
          <w:tcPr>
            <w:tcW w:w="1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（二）结果应用</w:t>
            </w: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将事前绩效评估结果应用于预算编制的，得4分。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 </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420" w:hRule="atLeast"/>
        </w:trPr>
        <w:tc>
          <w:tcPr>
            <w:tcW w:w="1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三、绩效目标管理</w:t>
            </w: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本年度绩效目标管理情况，即编制本年度预算时，同步编制绩效目标等工作情况。</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 xml:space="preserve">25 </w:t>
            </w: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32" w:hRule="atLeast"/>
        </w:trPr>
        <w:tc>
          <w:tcPr>
            <w:tcW w:w="1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（一）管理范围</w:t>
            </w: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开展项目绩效目标管理的预算部门数量/预算部门总数×7</w:t>
            </w:r>
            <w:r>
              <w:rPr>
                <w:rStyle w:val="7"/>
                <w:sz w:val="24"/>
                <w:szCs w:val="24"/>
                <w:lang w:val="en-US" w:eastAsia="zh-CN" w:bidi="ar"/>
              </w:rPr>
              <w:t>分；开展部门整体支出绩效目标管理的预算部门数量/预算部门总数×4分。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11 </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39"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绩效目标管理范围全面覆盖四本预算，即：一般公共预算、政府性基金预算、国有资本经营预算、社会保险基金预算的，得4分。每缺一项未覆盖，扣1分。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 </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39" w:hRule="atLeast"/>
        </w:trPr>
        <w:tc>
          <w:tcPr>
            <w:tcW w:w="1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（二）资金规模</w:t>
            </w: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实施绩效目标管理的项目支出金额/预算部门项目支出总额×</w:t>
            </w:r>
            <w:r>
              <w:rPr>
                <w:rStyle w:val="7"/>
                <w:sz w:val="24"/>
                <w:szCs w:val="24"/>
                <w:lang w:val="en-US" w:eastAsia="zh-CN" w:bidi="ar"/>
              </w:rPr>
              <w:t>10分。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 </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1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四、绩效监控管理</w:t>
            </w: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本年度开展绩效监控情况，即对本年度部门整体和项目支出绩效目标实现程度实施监控的情况。</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 xml:space="preserve">10 </w:t>
            </w: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20" w:hRule="atLeast"/>
        </w:trPr>
        <w:tc>
          <w:tcPr>
            <w:tcW w:w="1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（一）管理范围</w:t>
            </w: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开展项目支出绩效监控的预算部门数量/预算部门总数×</w:t>
            </w:r>
            <w:r>
              <w:rPr>
                <w:rStyle w:val="7"/>
                <w:sz w:val="24"/>
                <w:szCs w:val="24"/>
                <w:lang w:val="en-US" w:eastAsia="zh-CN" w:bidi="ar"/>
              </w:rPr>
              <w:t>4分；开展部门整体支出绩效监控管理的预算部门数量/预算部门总数×2分。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 </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99" w:hRule="atLeast"/>
        </w:trPr>
        <w:tc>
          <w:tcPr>
            <w:tcW w:w="1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（二）结果应用</w:t>
            </w: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预算部门对偏离绩效目标和预算执行进度较差项目及时整改纠偏的，得4分。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 </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99" w:hRule="atLeast"/>
        </w:trPr>
        <w:tc>
          <w:tcPr>
            <w:tcW w:w="1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五、绩效评价管理</w:t>
            </w: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本年度开展绩效评价工作情况，即本年度对上年度预算执行情况进行评价的情况。</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 xml:space="preserve">30 </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632" w:hRule="atLeast"/>
        </w:trPr>
        <w:tc>
          <w:tcPr>
            <w:tcW w:w="1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（一）评价范围</w:t>
            </w: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开展项目绩效自评的预算部门数量/预算部门总数×</w:t>
            </w:r>
            <w:r>
              <w:rPr>
                <w:rStyle w:val="7"/>
                <w:sz w:val="24"/>
                <w:szCs w:val="24"/>
                <w:lang w:val="en-US" w:eastAsia="zh-CN" w:bidi="ar"/>
              </w:rPr>
              <w:t>4分；开展部门整体支出绩效自评的预算部门数量/预算部门总数×3分。</w:t>
            </w:r>
            <w:r>
              <w:rPr>
                <w:rStyle w:val="7"/>
                <w:sz w:val="24"/>
                <w:szCs w:val="24"/>
                <w:lang w:val="en-US" w:eastAsia="zh-CN" w:bidi="ar"/>
              </w:rPr>
              <w:br w:type="textWrapping"/>
            </w:r>
            <w:r>
              <w:rPr>
                <w:rStyle w:val="7"/>
                <w:sz w:val="24"/>
                <w:szCs w:val="24"/>
                <w:lang w:val="en-US" w:eastAsia="zh-CN" w:bidi="ar"/>
              </w:rPr>
              <w:t>组织开展部门绩效评价的预算部门数量/预算部门总数×3分；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10 </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6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将财政绩效评价或部门绩效评价范围从一般公共预算拓展到政府性基金预算、社会保险基金预算、国有资本经营预算的，每拓展1个，得1分，最高不超过4分。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 </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将财政绩效评价或部门绩效评价范围拓展到政府投资基金、政府和社会资本合作（PPP)、政府购买服务、政府债务项目的，每拓展1个，得1分，最高不超过2分。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9" w:hRule="atLeast"/>
        </w:trPr>
        <w:tc>
          <w:tcPr>
            <w:tcW w:w="1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（二）评价规模</w:t>
            </w: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开展项目绩效自评金额/</w:t>
            </w:r>
            <w:r>
              <w:rPr>
                <w:rStyle w:val="7"/>
                <w:sz w:val="24"/>
                <w:szCs w:val="24"/>
                <w:lang w:val="en-US" w:eastAsia="zh-CN" w:bidi="ar"/>
              </w:rPr>
              <w:t>预算部门项目支出总额×4分。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 </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62"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组织开展财政评价项目15个以上的得3分，10（含）-15个得2分,10个以下得1分。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 </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2" w:hRule="atLeast"/>
        </w:trPr>
        <w:tc>
          <w:tcPr>
            <w:tcW w:w="1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（三）评价管理</w:t>
            </w: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对绩效自评和部门绩效评价结果进行抽查复核的，得2分。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 </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2"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对第三方机构参与绩效评价管理进行规范，并对质量进行控制的，得1分。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 </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2" w:hRule="atLeast"/>
        </w:trPr>
        <w:tc>
          <w:tcPr>
            <w:tcW w:w="1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（四）结果应用</w:t>
            </w: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建立绩效评价结果与预算安排和政策调整挂钩机制，并组织实施的，得4分。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4 </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2" w:hRule="atLeast"/>
        </w:trPr>
        <w:tc>
          <w:tcPr>
            <w:tcW w:w="1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六、预决算绩效信息公开</w:t>
            </w: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本年度绩效信息公开情况，即绩效目标和评价结果公开的情况。</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 xml:space="preserve">10 </w:t>
            </w: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1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（一）绩效目标公开</w:t>
            </w: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主动向社会公开重点项目绩效目标，得2分。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 </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将重点项目绩效目标向市人大报送，得2分。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 </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02" w:hRule="atLeast"/>
        </w:trPr>
        <w:tc>
          <w:tcPr>
            <w:tcW w:w="1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（二）评价结果公开</w:t>
            </w: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主动向社会公开重点项目绩效评价结果的，得2分。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 </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19"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将重点项目绩效评价结果向县（区）人大报送，得2分。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 </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19" w:hRule="atLeast"/>
        </w:trPr>
        <w:tc>
          <w:tcPr>
            <w:tcW w:w="1735"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（三）预决算信息公开</w:t>
            </w: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按要求开展预决算公开工作的，得1分。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19" w:hRule="atLeast"/>
        </w:trPr>
        <w:tc>
          <w:tcPr>
            <w:tcW w:w="1735"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对存在问题及时整改的，得1分。</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00" w:hRule="atLeast"/>
        </w:trPr>
        <w:tc>
          <w:tcPr>
            <w:tcW w:w="1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合计</w:t>
            </w:r>
          </w:p>
        </w:tc>
        <w:tc>
          <w:tcPr>
            <w:tcW w:w="47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 xml:space="preserve">100 </w:t>
            </w: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gridAfter w:val="5"/>
          <w:wAfter w:w="7238" w:type="dxa"/>
          <w:trHeight w:val="619" w:hRule="atLeast"/>
        </w:trPr>
        <w:tc>
          <w:tcPr>
            <w:tcW w:w="173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56"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47" w:hRule="atLeast"/>
        </w:trPr>
        <w:tc>
          <w:tcPr>
            <w:tcW w:w="17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联系人：                                    </w:t>
            </w:r>
          </w:p>
        </w:tc>
        <w:tc>
          <w:tcPr>
            <w:tcW w:w="7994" w:type="dxa"/>
            <w:gridSpan w:val="6"/>
            <w:tcBorders>
              <w:top w:val="nil"/>
              <w:left w:val="nil"/>
              <w:bottom w:val="nil"/>
              <w:right w:val="nil"/>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r>
      <w:tr>
        <w:tblPrEx>
          <w:tblCellMar>
            <w:top w:w="0" w:type="dxa"/>
            <w:left w:w="0" w:type="dxa"/>
            <w:bottom w:w="0" w:type="dxa"/>
            <w:right w:w="0" w:type="dxa"/>
          </w:tblCellMar>
        </w:tblPrEx>
        <w:trPr>
          <w:trHeight w:val="225" w:hRule="atLeast"/>
        </w:trPr>
        <w:tc>
          <w:tcPr>
            <w:tcW w:w="1735"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8"/>
                <w:szCs w:val="28"/>
                <w:u w:val="none"/>
              </w:rPr>
            </w:pPr>
          </w:p>
        </w:tc>
        <w:tc>
          <w:tcPr>
            <w:tcW w:w="4787"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c>
          <w:tcPr>
            <w:tcW w:w="885"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756"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c>
          <w:tcPr>
            <w:tcW w:w="756"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c>
          <w:tcPr>
            <w:tcW w:w="81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225" w:hRule="atLeast"/>
        </w:trPr>
        <w:tc>
          <w:tcPr>
            <w:tcW w:w="1735"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4787"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8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56"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56"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1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5" w:hRule="atLeast"/>
        </w:trPr>
        <w:tc>
          <w:tcPr>
            <w:tcW w:w="1735" w:type="dxa"/>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c>
          <w:tcPr>
            <w:tcW w:w="4787"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bookmarkStart w:id="0" w:name="_GoBack"/>
            <w:bookmarkEnd w:id="0"/>
          </w:p>
        </w:tc>
        <w:tc>
          <w:tcPr>
            <w:tcW w:w="88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56"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56"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1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bl>
    <w:p/>
    <w:sectPr>
      <w:footerReference r:id="rId3" w:type="default"/>
      <w:pgSz w:w="11906" w:h="16838"/>
      <w:pgMar w:top="1440" w:right="1800" w:bottom="1440" w:left="1293" w:header="851" w:footer="992" w:gutter="0"/>
      <w:pgNumType w:fmt="numberInDash"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A08D2"/>
    <w:rsid w:val="15945BDF"/>
    <w:rsid w:val="1A471BBE"/>
    <w:rsid w:val="1CD76C1C"/>
    <w:rsid w:val="1FCD17DF"/>
    <w:rsid w:val="204F4C85"/>
    <w:rsid w:val="27780ABA"/>
    <w:rsid w:val="2E2C0F92"/>
    <w:rsid w:val="5BEA53E8"/>
    <w:rsid w:val="7BB83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hint="eastAsia" w:ascii="宋体" w:hAnsi="宋体" w:eastAsia="宋体" w:cs="宋体"/>
      <w:color w:val="FF0000"/>
      <w:sz w:val="18"/>
      <w:szCs w:val="18"/>
      <w:u w:val="none"/>
    </w:rPr>
  </w:style>
  <w:style w:type="character" w:customStyle="1" w:styleId="7">
    <w:name w:val="font5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2020-09-21T10:23:00Z</dcterms:created>
  <dc:creator>Administrator</dc:creator>
  <cp:lastModifiedBy>可可</cp:lastModifiedBy>
  <cp:lastPrinted>2020-09-22T08:54:00Z</cp:lastPrinted>
  <dcterms:modified xsi:type="dcterms:W3CDTF">2020-10-13T02:42:04Z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